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wmf" ContentType="image/x-wmf"/>
  <Override PartName="/word/media/image5.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709" w:left="709" w:right="0"/>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INSTITUTO DE VIVIENDA DE INTERÉS SOCIAL Y REFORMA URBANA DEL MUNICIPIO DE BUCARAMANGA - INVISBU</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tabs>
          <w:tab w:val="clear" w:pos="709"/>
          <w:tab w:val="left" w:pos="6086" w:leader="none"/>
        </w:tabs>
        <w:jc w:val="center"/>
        <w:rPr>
          <w:rFonts w:ascii="Arial Narrow" w:hAnsi="Arial Narrow" w:eastAsia="Helvetica-Bold;Arial" w:cs="Arial"/>
          <w:b/>
          <w:bCs/>
          <w:color w:val="000000"/>
        </w:rPr>
      </w:pPr>
      <w:r>
        <w:rPr>
          <w:rFonts w:eastAsia="Helvetica-Bold;Arial" w:cs="Arial" w:ascii="Arial Narrow" w:hAnsi="Arial Narrow"/>
          <w:b/>
          <w:bCs/>
          <w:color w:val="000000"/>
        </w:rPr>
        <w:t>CONCURSO DE MÉRITOS ABIERTO XXX</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pPr>
      <w:r>
        <w:rPr>
          <w:rFonts w:cs="Arial" w:ascii="Arial Narrow" w:hAnsi="Arial Narrow"/>
          <w:b/>
        </w:rPr>
        <w:t>PLIEGO DE CONDICIONES DEFINITIVO</w:t>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cs="Arial"/>
          <w:b/>
          <w:bCs/>
          <w:color w:val="000000"/>
          <w:lang w:val="es-ES"/>
        </w:rPr>
      </w:pPr>
      <w:r>
        <w:rPr>
          <w:rFonts w:eastAsia="Helvetica-Bold;Arial" w:cs="Arial" w:ascii="Arial Narrow" w:hAnsi="Arial Narrow"/>
          <w:b/>
          <w:bCs/>
          <w:color w:val="000000"/>
        </w:rPr>
        <w:t>OBJETO: XXXXXXXXXXXXX</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t>FECHA: XXXXXXXXXX</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Tabladecuadrcula31"/>
        <w:spacing w:lineRule="auto" w:line="240"/>
        <w:ind w:hanging="0" w:left="0"/>
        <w:rPr/>
      </w:pPr>
      <w:r>
        <w:rPr/>
        <w:t>Contenido</w:t>
      </w:r>
    </w:p>
    <w:sdt>
      <w:sdtPr>
        <w:docPartObj>
          <w:docPartGallery w:val="Table of Contents"/>
          <w:docPartUnique w:val="true"/>
        </w:docPartObj>
      </w:sdtPr>
      <w:sdtContent>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r>
            <w:fldChar w:fldCharType="begin"/>
          </w:r>
          <w:r>
            <w:rPr>
              <w:webHidden/>
              <w:rStyle w:val="Enlacedelndice"/>
              <w:lang w:val="es-CO" w:eastAsia="es-CO"/>
            </w:rPr>
            <w:instrText xml:space="preserve"> TOC \z \o "1-1" \u \h</w:instrText>
          </w:r>
          <w:r>
            <w:rPr>
              <w:webHidden/>
              <w:rStyle w:val="Enlacedelndice"/>
              <w:lang w:val="es-CO" w:eastAsia="es-CO"/>
            </w:rPr>
            <w:fldChar w:fldCharType="separate"/>
          </w:r>
          <w:hyperlink w:anchor="__RefHeading___Toc482871735">
            <w:r>
              <w:rPr>
                <w:webHidden/>
                <w:rStyle w:val="Enlacedelndice"/>
                <w:lang w:val="es-CO" w:eastAsia="es-CO"/>
              </w:rPr>
              <w:t>I. INTRODUCCIÓN</w:t>
              <w:tab/>
              <w:t>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36">
            <w:r>
              <w:rPr>
                <w:webHidden/>
                <w:rStyle w:val="Enlacedelndice"/>
                <w:lang w:val="es-CO" w:eastAsia="es-CO"/>
              </w:rPr>
              <w:t>II. Aspectos Generales</w:t>
              <w:tab/>
              <w:t>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37">
            <w:r>
              <w:rPr>
                <w:webHidden/>
                <w:rStyle w:val="Enlacedelndice"/>
                <w:lang w:val="es-CO" w:eastAsia="es-CO"/>
              </w:rPr>
              <w:t>III. Definiciones</w:t>
              <w:tab/>
              <w:t>8</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38">
            <w:r>
              <w:rPr>
                <w:webHidden/>
                <w:rStyle w:val="Enlacedelndice"/>
                <w:lang w:val="es-CO" w:eastAsia="es-CO"/>
              </w:rPr>
              <w:t>IV. ETAPAS Y REGLAS DEL PROCEDIMIENTO</w:t>
              <w:tab/>
              <w:t>9</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39">
            <w:r>
              <w:rPr>
                <w:webHidden/>
                <w:rStyle w:val="Enlacedelndice"/>
                <w:lang w:val="es-CO" w:eastAsia="es-CO"/>
              </w:rPr>
              <w:t>A. Aviso de Convocatoria</w:t>
              <w:tab/>
              <w:t>9</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0">
            <w:r>
              <w:rPr>
                <w:webHidden/>
                <w:rStyle w:val="Enlacedelndice"/>
                <w:lang w:val="es-CO" w:eastAsia="es-CO"/>
              </w:rPr>
              <w:t>B. Proyecto de pliego de condiciones</w:t>
              <w:tab/>
              <w:t>10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1">
            <w:r>
              <w:rPr>
                <w:webHidden/>
                <w:rStyle w:val="Enlacedelndice"/>
                <w:lang w:val="es-CO" w:eastAsia="es-CO"/>
              </w:rPr>
              <w:t>C. Observaciones y sugerencias al proyecto de pliego de condiciones</w:t>
              <w:tab/>
              <w:t>10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2">
            <w:r>
              <w:rPr>
                <w:webHidden/>
                <w:rStyle w:val="Enlacedelndice"/>
                <w:lang w:val="es-CO" w:eastAsia="es-CO"/>
              </w:rPr>
              <w:t>D. Acto administrativo de apertura</w:t>
              <w:tab/>
              <w:t>10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3">
            <w:r>
              <w:rPr>
                <w:webHidden/>
                <w:rStyle w:val="Enlacedelndice"/>
                <w:lang w:val="es-CO" w:eastAsia="es-CO"/>
              </w:rPr>
              <w:t>E. Pliegos de condiciones definitivos:</w:t>
              <w:tab/>
              <w:t>10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4">
            <w:r>
              <w:rPr>
                <w:webHidden/>
                <w:rStyle w:val="Enlacedelndice"/>
                <w:lang w:val="es-CO" w:eastAsia="es-CO"/>
              </w:rPr>
              <w:t>F. Plazo y forma de presentación de propuestas</w:t>
              <w:tab/>
              <w:t>11</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5">
            <w:r>
              <w:rPr>
                <w:webHidden/>
                <w:rStyle w:val="Enlacedelndice"/>
                <w:lang w:val="es-CO" w:eastAsia="es-CO"/>
              </w:rPr>
              <w:t>G. Audiencia de apertura de urna:</w:t>
              <w:tab/>
              <w:t>12</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6">
            <w:r>
              <w:rPr>
                <w:webHidden/>
                <w:rStyle w:val="Enlacedelndice"/>
                <w:lang w:val="es-CO" w:eastAsia="es-CO"/>
              </w:rPr>
              <w:t>H. Evaluación de las propuestas</w:t>
              <w:tab/>
              <w:t>12</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7">
            <w:r>
              <w:rPr>
                <w:webHidden/>
                <w:rStyle w:val="Enlacedelndice"/>
                <w:lang w:val="es-CO" w:eastAsia="es-CO"/>
              </w:rPr>
              <w:t>I. Regla de subsanabilidad:</w:t>
              <w:tab/>
              <w:t>12</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8">
            <w:r>
              <w:rPr>
                <w:webHidden/>
                <w:rStyle w:val="Enlacedelndice"/>
                <w:lang w:val="es-CO" w:eastAsia="es-CO"/>
              </w:rPr>
              <w:t>K. Orden de Elegibilidad y Adjudicación</w:t>
              <w:tab/>
              <w:t>13</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49">
            <w:r>
              <w:rPr>
                <w:webHidden/>
                <w:rStyle w:val="Enlacedelndice"/>
                <w:lang w:val="es-CO" w:eastAsia="es-CO"/>
              </w:rPr>
              <w:t>L. Criterios de Selección</w:t>
              <w:tab/>
              <w:t>13</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0">
            <w:r>
              <w:rPr>
                <w:webHidden/>
                <w:rStyle w:val="Enlacedelndice"/>
                <w:lang w:val="es-ES" w:eastAsia="es-CO"/>
              </w:rPr>
              <w:t xml:space="preserve">V. </w:t>
            </w:r>
            <w:r>
              <w:rPr>
                <w:rStyle w:val="Enlacedelndice"/>
                <w:lang w:val="es-CO" w:eastAsia="es-CO"/>
              </w:rPr>
              <w:t>DESCRIPCIÓN</w:t>
              <w:tab/>
              <w:t>14</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1">
            <w:r>
              <w:rPr>
                <w:webHidden/>
                <w:rStyle w:val="Enlacedelndice"/>
                <w:lang w:val="es-CO" w:eastAsia="es-CO"/>
              </w:rPr>
              <w:t>ASPECTOS GENERALES</w:t>
              <w:tab/>
              <w:t>14</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2">
            <w:r>
              <w:rPr>
                <w:webHidden/>
                <w:rStyle w:val="Enlacedelndice"/>
                <w:lang w:val="es-CO" w:eastAsia="es-CO"/>
              </w:rPr>
              <w:t>D. Plazo de ejecución del Contrato</w:t>
              <w:tab/>
              <w:t>15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3">
            <w:r>
              <w:rPr>
                <w:webHidden/>
                <w:rStyle w:val="Enlacedelndice"/>
                <w:lang w:val="es-CO" w:eastAsia="es-CO"/>
              </w:rPr>
              <w:t>E. Lugar de ejecución del Contrato</w:t>
              <w:tab/>
              <w:t>15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4">
            <w:r>
              <w:rPr>
                <w:webHidden/>
                <w:rStyle w:val="Enlacedelndice"/>
                <w:lang w:val="es-CO" w:eastAsia="es-CO"/>
              </w:rPr>
              <w:t>F. EVALUACIÓN DE LA OFERTA</w:t>
              <w:tab/>
              <w:t>15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5">
            <w:r>
              <w:rPr>
                <w:webHidden/>
                <w:rStyle w:val="Enlacedelndice"/>
                <w:lang w:val="es-CO" w:eastAsia="es-CO"/>
              </w:rPr>
              <w:t>OFERTA</w:t>
              <w:tab/>
              <w:t>17</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6">
            <w:r>
              <w:rPr>
                <w:webHidden/>
                <w:rStyle w:val="Enlacedelndice"/>
                <w:lang w:val="es-CO" w:eastAsia="es-CO"/>
              </w:rPr>
              <w:t>A. Presentación</w:t>
              <w:tab/>
              <w:t>17</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7">
            <w:r>
              <w:rPr>
                <w:webHidden/>
                <w:rStyle w:val="Enlacedelndice"/>
                <w:lang w:val="es-CO" w:eastAsia="es-CO"/>
              </w:rPr>
              <w:t>VI. Requisitos Habilitantes</w:t>
              <w:tab/>
              <w:t>18</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8">
            <w:r>
              <w:rPr>
                <w:webHidden/>
                <w:rStyle w:val="Enlacedelndice"/>
                <w:rFonts w:eastAsia="Calibri"/>
                <w:lang w:val="es-CO" w:eastAsia="es-CO"/>
              </w:rPr>
              <w:t>B. REQUISITOS Y DOCUMENTOS HABILITANTES DE ORDEN TÉCNICO</w:t>
            </w:r>
            <w:r>
              <w:rPr>
                <w:rStyle w:val="Enlacedelndice"/>
                <w:lang w:val="es-CO" w:eastAsia="es-CO"/>
              </w:rPr>
              <w:tab/>
              <w:t>23</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59">
            <w:r>
              <w:rPr>
                <w:webHidden/>
                <w:rStyle w:val="Enlacedelndice"/>
                <w:lang w:val="es-CO" w:eastAsia="es-CO"/>
              </w:rPr>
              <w:t>EXPERIENCIA GENERAL:</w:t>
              <w:tab/>
              <w:t>23</w:t>
            </w:r>
          </w:hyperlink>
        </w:p>
        <w:p>
          <w:pPr>
            <w:pStyle w:val="TOC1"/>
            <w:tabs>
              <w:tab w:val="clear" w:pos="709"/>
              <w:tab w:val="left" w:pos="480" w:leader="none"/>
              <w:tab w:val="right" w:pos="8830" w:leader="hyphen"/>
            </w:tabs>
            <w:rPr>
              <w:rFonts w:ascii="Calibri" w:hAnsi="Calibri" w:cs="Calibri"/>
              <w:bCs w:val="false"/>
              <w:caps w:val="false"/>
              <w:smallCaps w:val="false"/>
              <w:color w:val="000000"/>
              <w:sz w:val="22"/>
              <w:szCs w:val="22"/>
              <w:lang w:val="es-CO" w:eastAsia="es-CO"/>
            </w:rPr>
          </w:pPr>
          <w:hyperlink w:anchor="__RefHeading___Toc482871760">
            <w:r>
              <w:rPr>
                <w:webHidden/>
                <w:rStyle w:val="Enlacedelndice"/>
                <w:lang w:val="es-ES" w:eastAsia="es-CO"/>
              </w:rPr>
              <w:t>C.</w:t>
            </w:r>
            <w:r>
              <w:rPr>
                <w:rStyle w:val="Enlacedelndice"/>
                <w:rFonts w:cs="Calibri" w:ascii="Calibri" w:hAnsi="Calibri"/>
                <w:bCs w:val="false"/>
                <w:caps w:val="false"/>
                <w:smallCaps w:val="false"/>
                <w:color w:val="000000"/>
                <w:sz w:val="22"/>
                <w:szCs w:val="22"/>
                <w:lang w:val="es-CO" w:eastAsia="es-CO"/>
              </w:rPr>
              <w:tab/>
            </w:r>
            <w:r>
              <w:rPr>
                <w:rStyle w:val="Enlacedelndice"/>
                <w:lang w:val="es-CO" w:eastAsia="es-CO"/>
              </w:rPr>
              <w:t xml:space="preserve">REQUISITOS Y DOCUMENTOS HABILITANTES DE ORDEN </w:t>
            </w:r>
            <w:r>
              <w:rPr>
                <w:rStyle w:val="Enlacedelndice"/>
                <w:lang w:val="es-ES" w:eastAsia="es-CO"/>
              </w:rPr>
              <w:t>FINANCIERO</w:t>
            </w:r>
            <w:r>
              <w:rPr>
                <w:rStyle w:val="Enlacedelndice"/>
                <w:lang w:val="es-CO" w:eastAsia="es-CO"/>
              </w:rPr>
              <w:tab/>
              <w:t>24</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61">
            <w:r>
              <w:rPr>
                <w:webHidden/>
                <w:rStyle w:val="Enlacedelndice"/>
                <w:lang w:val="es-CO" w:eastAsia="es-CO"/>
              </w:rPr>
              <w:t>CAPACIDAD ORGANIZACIONAL</w:t>
              <w:tab/>
              <w:t>25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62">
            <w:r>
              <w:rPr>
                <w:webHidden/>
                <w:rStyle w:val="Enlacedelndice"/>
                <w:lang w:val="es-CO" w:eastAsia="es-CO"/>
              </w:rPr>
              <w:t>D. Información financiera para Proponentes extranjeros</w:t>
              <w:tab/>
              <w:t>26</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63">
            <w:r>
              <w:rPr>
                <w:webHidden/>
                <w:rStyle w:val="Enlacedelndice"/>
                <w:lang w:val="es-CO" w:eastAsia="es-CO"/>
              </w:rPr>
              <w:t>VII. EVALUACIÓN DE LA OFERTA.</w:t>
              <w:tab/>
              <w:t>26</w:t>
            </w:r>
          </w:hyperlink>
        </w:p>
        <w:p>
          <w:pPr>
            <w:pStyle w:val="TOC1"/>
            <w:tabs>
              <w:tab w:val="clear" w:pos="709"/>
              <w:tab w:val="left" w:pos="480" w:leader="none"/>
              <w:tab w:val="right" w:pos="8830" w:leader="hyphen"/>
            </w:tabs>
            <w:rPr>
              <w:rFonts w:ascii="Calibri" w:hAnsi="Calibri" w:cs="Calibri"/>
              <w:bCs w:val="false"/>
              <w:caps w:val="false"/>
              <w:smallCaps w:val="false"/>
              <w:color w:val="000000"/>
              <w:sz w:val="22"/>
              <w:szCs w:val="22"/>
              <w:lang w:val="es-CO" w:eastAsia="es-CO"/>
            </w:rPr>
          </w:pPr>
          <w:hyperlink w:anchor="__RefHeading___Toc482871764">
            <w:r>
              <w:rPr>
                <w:webHidden/>
                <w:rStyle w:val="Enlacedelndice"/>
                <w:lang w:val="es-CO" w:eastAsia="es-CO"/>
              </w:rPr>
              <w:t>A.</w:t>
            </w:r>
            <w:r>
              <w:rPr>
                <w:rStyle w:val="Enlacedelndice"/>
                <w:rFonts w:cs="Calibri" w:ascii="Calibri" w:hAnsi="Calibri"/>
                <w:bCs w:val="false"/>
                <w:caps w:val="false"/>
                <w:smallCaps w:val="false"/>
                <w:color w:val="000000"/>
                <w:sz w:val="22"/>
                <w:szCs w:val="22"/>
                <w:lang w:val="es-CO" w:eastAsia="es-CO"/>
              </w:rPr>
              <w:tab/>
            </w:r>
            <w:r>
              <w:rPr>
                <w:rStyle w:val="Enlacedelndice"/>
                <w:lang w:val="es-CO" w:eastAsia="es-CO"/>
              </w:rPr>
              <w:t>EVALUACIÓN Y PONDERACIÓN FACTOR EXPERIENCIA ESPECIFICA DEL OFERENTE: 500 PUNTOS</w:t>
              <w:tab/>
              <w:t>26</w:t>
            </w:r>
          </w:hyperlink>
        </w:p>
        <w:p>
          <w:pPr>
            <w:pStyle w:val="TOC1"/>
            <w:tabs>
              <w:tab w:val="clear" w:pos="709"/>
              <w:tab w:val="left" w:pos="480" w:leader="none"/>
              <w:tab w:val="right" w:pos="8830" w:leader="hyphen"/>
            </w:tabs>
            <w:rPr>
              <w:rFonts w:ascii="Calibri" w:hAnsi="Calibri" w:cs="Calibri"/>
              <w:bCs w:val="false"/>
              <w:caps w:val="false"/>
              <w:smallCaps w:val="false"/>
              <w:color w:val="000000"/>
              <w:sz w:val="22"/>
              <w:szCs w:val="22"/>
              <w:lang w:val="es-CO" w:eastAsia="es-CO"/>
            </w:rPr>
          </w:pPr>
          <w:hyperlink w:anchor="__RefHeading___Toc482871765">
            <w:r>
              <w:rPr>
                <w:webHidden/>
                <w:rStyle w:val="Enlacedelndice"/>
                <w:lang w:val="es-CO" w:eastAsia="es-CO"/>
              </w:rPr>
              <w:t>B.</w:t>
            </w:r>
            <w:r>
              <w:rPr>
                <w:rStyle w:val="Enlacedelndice"/>
                <w:rFonts w:cs="Calibri" w:ascii="Calibri" w:hAnsi="Calibri"/>
                <w:bCs w:val="false"/>
                <w:caps w:val="false"/>
                <w:smallCaps w:val="false"/>
                <w:color w:val="000000"/>
                <w:sz w:val="22"/>
                <w:szCs w:val="22"/>
                <w:lang w:val="es-CO" w:eastAsia="es-CO"/>
              </w:rPr>
              <w:tab/>
            </w:r>
            <w:r>
              <w:rPr>
                <w:rStyle w:val="Enlacedelndice"/>
                <w:lang w:val="es-CO" w:eastAsia="es-CO"/>
              </w:rPr>
              <w:t>EVALUACIÓN Y PONDERACIÓN DE LOS PROFESIONALES DEL EQUIPO DE TRABAJO: 400 Puntos</w:t>
              <w:tab/>
              <w:t>31</w:t>
            </w:r>
          </w:hyperlink>
        </w:p>
        <w:p>
          <w:pPr>
            <w:pStyle w:val="TOC1"/>
            <w:tabs>
              <w:tab w:val="clear" w:pos="709"/>
              <w:tab w:val="left" w:pos="480" w:leader="none"/>
              <w:tab w:val="right" w:pos="8830" w:leader="hyphen"/>
            </w:tabs>
            <w:rPr>
              <w:rFonts w:ascii="Calibri" w:hAnsi="Calibri" w:cs="Calibri"/>
              <w:bCs w:val="false"/>
              <w:caps w:val="false"/>
              <w:smallCaps w:val="false"/>
              <w:color w:val="000000"/>
              <w:sz w:val="22"/>
              <w:szCs w:val="22"/>
              <w:lang w:val="es-CO" w:eastAsia="es-CO"/>
            </w:rPr>
          </w:pPr>
          <w:hyperlink w:anchor="__RefHeading___Toc482871766">
            <w:r>
              <w:rPr>
                <w:webHidden/>
                <w:rStyle w:val="Enlacedelndice"/>
                <w:lang w:val="es-CO" w:eastAsia="es-CO"/>
              </w:rPr>
              <w:t>C.</w:t>
            </w:r>
            <w:r>
              <w:rPr>
                <w:rStyle w:val="Enlacedelndice"/>
                <w:rFonts w:cs="Calibri" w:ascii="Calibri" w:hAnsi="Calibri"/>
                <w:bCs w:val="false"/>
                <w:caps w:val="false"/>
                <w:smallCaps w:val="false"/>
                <w:color w:val="000000"/>
                <w:sz w:val="22"/>
                <w:szCs w:val="22"/>
                <w:lang w:val="es-CO" w:eastAsia="es-CO"/>
              </w:rPr>
              <w:tab/>
            </w:r>
            <w:r>
              <w:rPr>
                <w:rStyle w:val="Enlacedelndice"/>
                <w:lang w:val="es-CO" w:eastAsia="es-CO"/>
              </w:rPr>
              <w:t>INCENTIVO A LA INDUSTRIA NACIONAL (100) PUNTOS</w:t>
              <w:tab/>
              <w:t>33</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67">
            <w:r>
              <w:rPr>
                <w:webHidden/>
                <w:rStyle w:val="Enlacedelndice"/>
                <w:lang w:val="es-ES" w:eastAsia="es-CO"/>
              </w:rPr>
              <w:t xml:space="preserve">VIII. </w:t>
            </w:r>
            <w:r>
              <w:rPr>
                <w:rStyle w:val="Enlacedelndice"/>
                <w:lang w:val="es-CO" w:eastAsia="es-CO"/>
              </w:rPr>
              <w:t>EMPATE</w:t>
              <w:tab/>
              <w:t>33</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68">
            <w:r>
              <w:rPr>
                <w:webHidden/>
                <w:rStyle w:val="Enlacedelndice"/>
                <w:lang w:val="es-CO" w:eastAsia="es-CO"/>
              </w:rPr>
              <w:t>OFERTAS ALTERNATIVAS</w:t>
              <w:tab/>
              <w:t>34</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69">
            <w:r>
              <w:rPr>
                <w:webHidden/>
                <w:rStyle w:val="Enlacedelndice"/>
                <w:lang w:val="es-CO" w:eastAsia="es-CO"/>
              </w:rPr>
              <w:t>DECLARATORIA DE DESIERTA</w:t>
              <w:tab/>
              <w:t>34</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0">
            <w:r>
              <w:rPr>
                <w:webHidden/>
                <w:rStyle w:val="Enlacedelndice"/>
                <w:lang w:val="es-CO" w:eastAsia="es-CO"/>
              </w:rPr>
              <w:t>RETIRO DE LA OFERTA</w:t>
              <w:tab/>
              <w:t>35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1">
            <w:r>
              <w:rPr>
                <w:webHidden/>
                <w:rStyle w:val="Enlacedelndice"/>
                <w:lang w:val="es-CO" w:eastAsia="es-CO"/>
              </w:rPr>
              <w:t>DEVOLUCIÓN DE LAS OFERTAS</w:t>
              <w:tab/>
              <w:t>35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2">
            <w:r>
              <w:rPr>
                <w:webHidden/>
                <w:rStyle w:val="Enlacedelndice"/>
                <w:lang w:val="es-CO" w:eastAsia="es-CO"/>
              </w:rPr>
              <w:t>RECHAZO</w:t>
              <w:tab/>
              <w:t>35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3">
            <w:r>
              <w:rPr>
                <w:webHidden/>
                <w:rStyle w:val="Enlacedelndice"/>
                <w:lang w:val="es-CO" w:eastAsia="es-CO"/>
              </w:rPr>
              <w:t>IX. ACUERDOS COMERCIALES</w:t>
              <w:tab/>
              <w:t>36</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4">
            <w:r>
              <w:rPr>
                <w:webHidden/>
                <w:rStyle w:val="Enlacedelndice"/>
                <w:lang w:val="es-CO" w:eastAsia="es-CO"/>
              </w:rPr>
              <w:t>X. ORDEN DE ELEGIBILIDAD Y ADJUDICACIÓN</w:t>
              <w:tab/>
              <w:t>37</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5">
            <w:r>
              <w:rPr>
                <w:webHidden/>
                <w:rStyle w:val="Enlacedelndice"/>
                <w:lang w:val="es-CO" w:eastAsia="es-CO"/>
              </w:rPr>
              <w:t>XI. GARANTÍAS</w:t>
              <w:tab/>
              <w:t>37</w:t>
            </w:r>
          </w:hyperlink>
        </w:p>
        <w:p>
          <w:pPr>
            <w:pStyle w:val="TOC1"/>
            <w:tabs>
              <w:tab w:val="clear" w:pos="709"/>
              <w:tab w:val="left" w:pos="480" w:leader="none"/>
              <w:tab w:val="right" w:pos="8830" w:leader="hyphen"/>
            </w:tabs>
            <w:rPr>
              <w:rFonts w:ascii="Calibri" w:hAnsi="Calibri" w:cs="Calibri"/>
              <w:bCs w:val="false"/>
              <w:caps w:val="false"/>
              <w:smallCaps w:val="false"/>
              <w:color w:val="000000"/>
              <w:sz w:val="22"/>
              <w:szCs w:val="22"/>
              <w:lang w:val="es-CO" w:eastAsia="es-CO"/>
            </w:rPr>
          </w:pPr>
          <w:hyperlink w:anchor="__RefHeading___Toc482871776">
            <w:r>
              <w:rPr>
                <w:webHidden/>
                <w:rStyle w:val="Enlacedelndice"/>
                <w:lang w:val="es-CO" w:eastAsia="es-CO"/>
              </w:rPr>
              <w:t>A.</w:t>
            </w:r>
            <w:r>
              <w:rPr>
                <w:rStyle w:val="Enlacedelndice"/>
                <w:rFonts w:cs="Calibri" w:ascii="Calibri" w:hAnsi="Calibri"/>
                <w:bCs w:val="false"/>
                <w:caps w:val="false"/>
                <w:smallCaps w:val="false"/>
                <w:color w:val="000000"/>
                <w:sz w:val="22"/>
                <w:szCs w:val="22"/>
                <w:lang w:val="es-CO" w:eastAsia="es-CO"/>
              </w:rPr>
              <w:tab/>
            </w:r>
            <w:r>
              <w:rPr>
                <w:rStyle w:val="Enlacedelndice"/>
                <w:lang w:val="es-CO" w:eastAsia="es-CO"/>
              </w:rPr>
              <w:t>Garantía de seriedad de la Oferta</w:t>
              <w:tab/>
              <w:t>37</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7">
            <w:r>
              <w:rPr>
                <w:webHidden/>
                <w:rStyle w:val="Enlacedelndice"/>
                <w:lang w:val="es-CO" w:eastAsia="es-CO"/>
              </w:rPr>
              <w:t>XII. INTERVENTORÍA Y/O SUPERVISIÓN</w:t>
              <w:tab/>
              <w:t>39</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8">
            <w:r>
              <w:rPr>
                <w:webHidden/>
                <w:rStyle w:val="Enlacedelndice"/>
                <w:lang w:val="es-CO" w:eastAsia="es-CO"/>
              </w:rPr>
              <w:t>XI</w:t>
            </w:r>
            <w:r>
              <w:rPr>
                <w:rStyle w:val="Enlacedelndice"/>
                <w:lang w:val="es-ES" w:eastAsia="es-CO"/>
              </w:rPr>
              <w:t>I</w:t>
            </w:r>
            <w:r>
              <w:rPr>
                <w:rStyle w:val="Enlacedelndice"/>
                <w:lang w:val="es-CO" w:eastAsia="es-CO"/>
              </w:rPr>
              <w:t>I. OBLIGACIONES DEL CONTRATISTA</w:t>
              <w:tab/>
              <w:t>40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79">
            <w:r>
              <w:rPr>
                <w:webHidden/>
                <w:rStyle w:val="Enlacedelndice"/>
                <w:lang w:val="es-CO" w:eastAsia="es-CO"/>
              </w:rPr>
              <w:t>OBLIGACIONES ESPECIFICAS:</w:t>
              <w:tab/>
              <w:t>40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0">
            <w:r>
              <w:rPr>
                <w:webHidden/>
                <w:rStyle w:val="Enlacedelndice"/>
                <w:lang w:val="es-CO" w:eastAsia="es-CO"/>
              </w:rPr>
              <w:t>OBLIGACIONES DE LA ENTIDAD:</w:t>
              <w:tab/>
              <w:t>40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1">
            <w:r>
              <w:rPr>
                <w:webHidden/>
                <w:rStyle w:val="Enlacedelndice"/>
                <w:lang w:val="es-ES" w:eastAsia="es-CO"/>
              </w:rPr>
              <w:t xml:space="preserve">XIV. </w:t>
            </w:r>
            <w:r>
              <w:rPr>
                <w:rStyle w:val="Enlacedelndice"/>
                <w:lang w:val="es-CO" w:eastAsia="es-CO"/>
              </w:rPr>
              <w:t>CRONOGRAMA</w:t>
              <w:tab/>
              <w:t>40</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2">
            <w:r>
              <w:rPr>
                <w:webHidden/>
                <w:rStyle w:val="Enlacedelndice"/>
                <w:rFonts w:eastAsia="Helvetica"/>
                <w:lang w:val="es-CO" w:eastAsia="es-CO"/>
              </w:rPr>
              <w:t>ANEXO 1 - COMPROMISO ANTICORRUPCIÓN</w:t>
            </w:r>
            <w:r>
              <w:rPr>
                <w:rStyle w:val="Enlacedelndice"/>
                <w:lang w:val="es-CO" w:eastAsia="es-CO"/>
              </w:rPr>
              <w:tab/>
              <w:t>42</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3">
            <w:r>
              <w:rPr>
                <w:webHidden/>
                <w:rStyle w:val="Enlacedelndice"/>
                <w:rFonts w:eastAsia="Helvetica"/>
                <w:lang w:val="es-CO" w:eastAsia="es-CO"/>
              </w:rPr>
              <w:t>ANEXO 2- FORMATO DE PRESENTACIÓN DE LAS OFERTAS</w:t>
            </w:r>
            <w:r>
              <w:rPr>
                <w:rStyle w:val="Enlacedelndice"/>
                <w:lang w:val="es-CO" w:eastAsia="es-CO"/>
              </w:rPr>
              <w:tab/>
              <w:t>43</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4">
            <w:r>
              <w:rPr>
                <w:webHidden/>
                <w:rStyle w:val="Enlacedelndice"/>
                <w:rFonts w:eastAsia="Helvetica"/>
                <w:lang w:val="es-CO" w:eastAsia="es-CO"/>
              </w:rPr>
              <w:t>ANEXO 3 –</w:t>
            </w:r>
            <w:r>
              <w:rPr>
                <w:rStyle w:val="Enlacedelndice"/>
                <w:lang w:val="es-CO" w:eastAsia="es-CO"/>
              </w:rPr>
              <w:t xml:space="preserve">. </w:t>
            </w:r>
            <w:r>
              <w:rPr>
                <w:rStyle w:val="Enlacedelndice"/>
                <w:rFonts w:eastAsia="Helvetica"/>
                <w:lang w:val="es-CO" w:eastAsia="es-CO"/>
              </w:rPr>
              <w:t>FORMATO PARA ACREDITAR LOS REQUISITOS HABILITANTES DE LOS PROPONENTES EXTRANJEROS SIN DOMICILIO O SUCURSAL EN COLOMBIA.</w:t>
            </w:r>
            <w:r>
              <w:rPr>
                <w:rStyle w:val="Enlacedelndice"/>
                <w:lang w:val="es-CO" w:eastAsia="es-CO"/>
              </w:rPr>
              <w:tab/>
              <w:t>44</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5">
            <w:r>
              <w:rPr>
                <w:webHidden/>
                <w:rStyle w:val="Enlacedelndice"/>
                <w:rFonts w:eastAsia="Helvetica"/>
                <w:lang w:val="es-CO" w:eastAsia="es-CO"/>
              </w:rPr>
              <w:t>ANEXO 5- PROPUESTA ECONÓMICA</w:t>
            </w:r>
            <w:r>
              <w:rPr>
                <w:rStyle w:val="Enlacedelndice"/>
                <w:lang w:val="es-CO" w:eastAsia="es-CO"/>
              </w:rPr>
              <w:tab/>
              <w:t>45</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6">
            <w:r>
              <w:rPr>
                <w:webHidden/>
                <w:rStyle w:val="Enlacedelndice"/>
                <w:rFonts w:eastAsia="Helvetica" w:cs="Arial"/>
                <w:lang w:val="es-CO" w:eastAsia="es-CO"/>
              </w:rPr>
              <w:t xml:space="preserve">ANEXO </w:t>
            </w:r>
            <w:r>
              <w:rPr>
                <w:rStyle w:val="Enlacedelndice"/>
                <w:rFonts w:eastAsia="Helvetica" w:cs="Arial"/>
                <w:lang w:val="es-ES" w:eastAsia="es-CO"/>
              </w:rPr>
              <w:t>6</w:t>
            </w:r>
            <w:r>
              <w:rPr>
                <w:rStyle w:val="Enlacedelndice"/>
                <w:rFonts w:eastAsia="Helvetica" w:cs="Arial"/>
                <w:lang w:val="es-CO" w:eastAsia="es-CO"/>
              </w:rPr>
              <w:t xml:space="preserve"> –</w:t>
            </w:r>
            <w:r>
              <w:rPr>
                <w:rStyle w:val="Enlacedelndice"/>
                <w:lang w:val="es-CO" w:eastAsia="es-CO"/>
              </w:rPr>
              <w:t xml:space="preserve">. MODELO DE </w:t>
            </w:r>
            <w:r>
              <w:rPr>
                <w:rStyle w:val="Enlacedelndice"/>
                <w:lang w:val="es-ES" w:eastAsia="es-CO"/>
              </w:rPr>
              <w:t>CONFORMACIÓN PARA</w:t>
            </w:r>
            <w:r>
              <w:rPr>
                <w:rStyle w:val="Enlacedelndice"/>
                <w:lang w:val="es-CO" w:eastAsia="es-CO"/>
              </w:rPr>
              <w:t xml:space="preserve"> CONSORCIO</w:t>
            </w:r>
            <w:r>
              <w:rPr>
                <w:rStyle w:val="Enlacedelndice"/>
                <w:lang w:val="es-ES" w:eastAsia="es-CO"/>
              </w:rPr>
              <w:t>S</w:t>
            </w:r>
            <w:r>
              <w:rPr>
                <w:rStyle w:val="Enlacedelndice"/>
                <w:lang w:val="es-CO" w:eastAsia="es-CO"/>
              </w:rPr>
              <w:tab/>
              <w:t>46</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7">
            <w:r>
              <w:rPr>
                <w:webHidden/>
                <w:rStyle w:val="Enlacedelndice"/>
                <w:rFonts w:eastAsia="Helvetica" w:cs="Arial"/>
                <w:lang w:val="es-CO" w:eastAsia="es-CO"/>
              </w:rPr>
              <w:t xml:space="preserve">ANEXO </w:t>
            </w:r>
            <w:r>
              <w:rPr>
                <w:rStyle w:val="Enlacedelndice"/>
                <w:rFonts w:eastAsia="Helvetica" w:cs="Arial"/>
                <w:lang w:val="es-ES" w:eastAsia="es-CO"/>
              </w:rPr>
              <w:t>7</w:t>
            </w:r>
            <w:r>
              <w:rPr>
                <w:rStyle w:val="Enlacedelndice"/>
                <w:rFonts w:eastAsia="Helvetica" w:cs="Arial"/>
                <w:lang w:val="es-CO" w:eastAsia="es-CO"/>
              </w:rPr>
              <w:t xml:space="preserve"> –</w:t>
            </w:r>
            <w:r>
              <w:rPr>
                <w:rStyle w:val="Enlacedelndice"/>
                <w:lang w:val="es-CO" w:eastAsia="es-CO"/>
              </w:rPr>
              <w:t xml:space="preserve">. MODELO DE </w:t>
            </w:r>
            <w:r>
              <w:rPr>
                <w:rStyle w:val="Enlacedelndice"/>
                <w:lang w:val="es-ES" w:eastAsia="es-CO"/>
              </w:rPr>
              <w:t>CONFORMACIÓN PARA UNIONES TEMPORALES</w:t>
            </w:r>
            <w:r>
              <w:rPr>
                <w:rStyle w:val="Enlacedelndice"/>
                <w:lang w:val="es-CO" w:eastAsia="es-CO"/>
              </w:rPr>
              <w:tab/>
              <w:t>47</w:t>
            </w:r>
          </w:hyperlink>
        </w:p>
        <w:p>
          <w:pPr>
            <w:pStyle w:val="TOC1"/>
            <w:tabs>
              <w:tab w:val="clear" w:pos="709"/>
              <w:tab w:val="right" w:pos="8830" w:leader="hyphen"/>
            </w:tabs>
            <w:rPr>
              <w:rFonts w:ascii="Calibri" w:hAnsi="Calibri" w:cs="Calibri"/>
              <w:bCs w:val="false"/>
              <w:caps w:val="false"/>
              <w:smallCaps w:val="false"/>
              <w:color w:val="000000"/>
              <w:sz w:val="22"/>
              <w:szCs w:val="22"/>
              <w:lang w:val="es-CO" w:eastAsia="es-CO"/>
            </w:rPr>
          </w:pPr>
          <w:hyperlink w:anchor="__RefHeading___Toc482871788">
            <w:r>
              <w:rPr>
                <w:webHidden/>
                <w:rStyle w:val="Enlacedelndice"/>
                <w:rFonts w:eastAsia="Helvetica" w:cs="Arial"/>
                <w:lang w:val="es-CO" w:eastAsia="es-CO"/>
              </w:rPr>
              <w:t xml:space="preserve">ANEXO </w:t>
            </w:r>
            <w:r>
              <w:rPr>
                <w:rStyle w:val="Enlacedelndice"/>
                <w:rFonts w:eastAsia="Helvetica" w:cs="Arial"/>
                <w:lang w:val="es-ES" w:eastAsia="es-CO"/>
              </w:rPr>
              <w:t>8</w:t>
            </w:r>
            <w:r>
              <w:rPr>
                <w:rStyle w:val="Enlacedelndice"/>
                <w:rFonts w:eastAsia="Helvetica" w:cs="Arial"/>
                <w:lang w:val="es-CO" w:eastAsia="es-CO"/>
              </w:rPr>
              <w:t xml:space="preserve"> –</w:t>
            </w:r>
            <w:r>
              <w:rPr>
                <w:rStyle w:val="Enlacedelndice"/>
                <w:lang w:val="es-CO" w:eastAsia="es-CO"/>
              </w:rPr>
              <w:t>. CERTIFICADO DE PAGO APORTES SISTEMA GENERAL DE SEGURIDAD SOCIAL PARAFISCALES</w:t>
              <w:tab/>
              <w:t>48</w:t>
            </w:r>
          </w:hyperlink>
        </w:p>
        <w:p>
          <w:pPr>
            <w:pStyle w:val="TOC1"/>
            <w:tabs>
              <w:tab w:val="clear" w:pos="709"/>
              <w:tab w:val="right" w:pos="8830" w:leader="hyphen"/>
            </w:tabs>
            <w:rPr>
              <w:rFonts w:ascii="Calibri" w:hAnsi="Calibri" w:cs="Calibri"/>
              <w:color w:val="000000"/>
              <w:sz w:val="22"/>
              <w:szCs w:val="22"/>
              <w:lang w:val="es-CO" w:eastAsia="es-CO"/>
            </w:rPr>
          </w:pPr>
          <w:hyperlink w:anchor="__RefHeading___Toc482871789">
            <w:r>
              <w:rPr>
                <w:webHidden/>
                <w:rStyle w:val="Enlacedelndice"/>
                <w:bCs w:val="false"/>
                <w:caps w:val="false"/>
                <w:smallCaps w:val="false"/>
                <w:lang w:val="es-CO" w:eastAsia="es-CO"/>
              </w:rPr>
              <w:t>ANEXO 9 -  APOYO A LA INDUSTRIA NACIONAL</w:t>
              <w:tab/>
              <w:t>49</w:t>
            </w:r>
          </w:hyperlink>
          <w:r>
            <w:rPr>
              <w:rStyle w:val="Enlacedelndice"/>
              <w:smallCaps w:val="false"/>
              <w:caps w:val="false"/>
              <w:bCs w:val="false"/>
              <w:lang w:val="es-CO" w:eastAsia="es-CO"/>
            </w:rPr>
            <w:fldChar w:fldCharType="end"/>
          </w:r>
        </w:p>
      </w:sdtContent>
    </w:sdt>
    <w:p>
      <w:pPr>
        <w:pStyle w:val="Normal"/>
        <w:numPr>
          <w:ilvl w:val="0"/>
          <w:numId w:val="0"/>
        </w:numPr>
        <w:ind w:hanging="0" w:left="0"/>
        <w:outlineLvl w:val="0"/>
        <w:rPr>
          <w:rFonts w:ascii="Arial Narrow" w:hAnsi="Arial Narrow" w:cs="Arial Narrow"/>
          <w:b/>
          <w:bCs/>
          <w:caps/>
          <w:color w:val="000000"/>
          <w:sz w:val="22"/>
          <w:szCs w:val="22"/>
          <w:lang w:val="es-CO" w:eastAsia="es-CO"/>
        </w:rPr>
      </w:pPr>
      <w:r>
        <w:rPr>
          <w:rFonts w:cs="Arial Narrow" w:ascii="Arial Narrow" w:hAnsi="Arial Narrow"/>
          <w:b/>
          <w:bCs/>
          <w:caps/>
          <w:color w:val="000000"/>
          <w:sz w:val="22"/>
          <w:szCs w:val="22"/>
          <w:lang w:val="es-CO" w:eastAsia="es-CO"/>
        </w:rPr>
      </w:r>
    </w:p>
    <w:p>
      <w:pPr>
        <w:pStyle w:val="Heading1"/>
        <w:numPr>
          <w:ilvl w:val="0"/>
          <w:numId w:val="1"/>
        </w:numPr>
        <w:spacing w:lineRule="auto" w:line="240"/>
        <w:ind w:hanging="0" w:left="0"/>
        <w:rPr>
          <w:rFonts w:ascii="Arial Narrow" w:hAnsi="Arial Narrow" w:cs="Arial Narrow"/>
          <w:b w:val="false"/>
          <w:color w:val="000000"/>
          <w:sz w:val="24"/>
          <w:szCs w:val="24"/>
        </w:rPr>
      </w:pPr>
      <w:r>
        <w:rPr>
          <w:rFonts w:cs="Arial Narrow"/>
          <w:b w:val="false"/>
          <w:color w:val="000000"/>
          <w:sz w:val="24"/>
          <w:szCs w:val="24"/>
        </w:rPr>
      </w:r>
    </w:p>
    <w:p>
      <w:pPr>
        <w:pStyle w:val="Normal"/>
        <w:rPr>
          <w:rFonts w:ascii="Arial Narrow" w:hAnsi="Arial Narrow" w:cs="Arial Narrow"/>
          <w:color w:val="000000"/>
          <w:sz w:val="24"/>
          <w:szCs w:val="24"/>
          <w:lang w:val="es-ES"/>
        </w:rPr>
      </w:pPr>
      <w:r>
        <w:rPr>
          <w:rFonts w:cs="Arial Narrow" w:ascii="Arial Narrow" w:hAnsi="Arial Narrow"/>
          <w:color w:val="000000"/>
          <w:sz w:val="24"/>
          <w:szCs w:val="24"/>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Normal"/>
        <w:rPr>
          <w:rFonts w:ascii="Arial Narrow" w:hAnsi="Arial Narrow" w:cs="Arial Narrow"/>
          <w:color w:val="000000"/>
          <w:lang w:val="es-ES"/>
        </w:rPr>
      </w:pPr>
      <w:r>
        <w:rPr>
          <w:rFonts w:cs="Arial Narrow" w:ascii="Arial Narrow" w:hAnsi="Arial Narrow"/>
          <w:color w:val="000000"/>
          <w:lang w:val="es-ES"/>
        </w:rPr>
      </w:r>
    </w:p>
    <w:p>
      <w:pPr>
        <w:pStyle w:val="Heading1"/>
        <w:numPr>
          <w:ilvl w:val="0"/>
          <w:numId w:val="1"/>
        </w:numPr>
        <w:spacing w:lineRule="auto" w:line="240"/>
        <w:ind w:hanging="0" w:left="0"/>
        <w:rPr/>
      </w:pPr>
      <w:bookmarkStart w:id="0" w:name="__RefHeading___Toc482871735"/>
      <w:bookmarkEnd w:id="0"/>
      <w:r>
        <w:rPr>
          <w:sz w:val="24"/>
          <w:szCs w:val="24"/>
        </w:rPr>
        <w:t>I. INTRODUCCIÓN</w:t>
      </w:r>
    </w:p>
    <w:p>
      <w:pPr>
        <w:pStyle w:val="Normal"/>
        <w:jc w:val="both"/>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El Instituto de Vivienda de Interés Social y Reforma Urbana del Municipio de Bucaramanga – INVISBU, pone a disposición de los interesados el Pliego de Condiciones para la selección del contratista encargado de ejecutar el contrato que tiene por objeto es XXXXXXXXXXX</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Los estudios y documentos previos, el proyecto de Pliego de Condiciones y el Pliego de Condiciones definitivo, así como cualquiera de sus anexos están a disposición del público en el Sistema Electrónico de Contratación Pública –SECOP–http://www.colombiacompra.gov.co/sistema-electronico-de-contratacion-publica. </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Para efectos de determinar el proceso contractual de selección de contratista que se tuvieron que se tuvo en cuenta aspectos determinantes como son el objeto a contratar, el cual se analiza teniendo como base la normatividad vigente en materia de Contratación Estatal, como son la Ley 80 de 1993 y en especial la Ley 1150 de 2007 y el Decreto No. 1082 de 2015.</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En tal sentido el artículo 2 de la Ley 1150 de 2007, señala las modalidades de selección y especifica que, la escogencia del contratista se efectuará con arreglo a las modalidades de selección de licitación pública, selección abreviada, concurso de méritos y contratación directa.</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La selección del Contratista se realiza a través de CONCURSO DE MÉRITOS en atención a que el contrato a celebrar corresponde a un contrato de consultoría (numeral 2°, artículo 32, Ley 80 de 1993) y es ésta la modalidad para la selección de consultores (numeral 3, artículo 2, Ley 1150 de 2007) A este proceso de selección y al contrato que de él se derive son aplicables los principios y normas de la Constitución Política, Ley 80 de 1993, Ley 1150 de 2007 y el Decreto No. 1082 de 2015 y demás normas concordantes o complementarias.</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sz w:val="24"/>
          <w:szCs w:val="24"/>
        </w:rPr>
      </w:pPr>
      <w:bookmarkStart w:id="1" w:name="__RefHeading___Toc482871736"/>
      <w:bookmarkEnd w:id="1"/>
      <w:r>
        <w:rPr>
          <w:sz w:val="24"/>
          <w:szCs w:val="24"/>
        </w:rPr>
        <w:t>II. Aspectos Generales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Heading2"/>
        <w:numPr>
          <w:ilvl w:val="1"/>
          <w:numId w:val="1"/>
        </w:numPr>
        <w:spacing w:lineRule="auto" w:line="240"/>
        <w:ind w:hanging="0" w:left="0"/>
        <w:rPr>
          <w:sz w:val="24"/>
          <w:szCs w:val="24"/>
        </w:rPr>
      </w:pPr>
      <w:r>
        <w:rPr>
          <w:sz w:val="24"/>
          <w:szCs w:val="24"/>
        </w:rPr>
        <w:t>A. Invitación a las veedurías ciudadanas</w:t>
      </w:r>
    </w:p>
    <w:p>
      <w:pPr>
        <w:pStyle w:val="Normal"/>
        <w:jc w:val="both"/>
        <w:rPr/>
      </w:pPr>
      <w:r>
        <w:rPr>
          <w:rFonts w:cs="Arial" w:ascii="Arial Narrow" w:hAnsi="Arial Narrow"/>
          <w:bCs/>
          <w:color w:val="000000"/>
          <w:lang w:val="es-ES"/>
        </w:rPr>
        <w:t xml:space="preserve">En cumplimiento de lo dispuesto en el inciso 3 del artículo 66 de la Ley 80 de 1993, el Instituto de Vivienda de Interés social y Reforma Urbana del Municipio de Bucaramanga – INVISBU, invita a todas las personas y organizaciones interesadas en hacer control social al presente Proceso de Contratación, en cualquiera de sus fases o etapas, a que presenten las recomendaciones que consideren convenientes, intervengan en las audiencias y a que consulten los Documentos del Proceso en el SECOP.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B. Compromiso anticorrupción</w:t>
      </w:r>
    </w:p>
    <w:p>
      <w:pPr>
        <w:pStyle w:val="Normal"/>
        <w:jc w:val="both"/>
        <w:rPr/>
      </w:pPr>
      <w:r>
        <w:rPr>
          <w:rFonts w:cs="Arial" w:ascii="Arial Narrow" w:hAnsi="Arial Narrow"/>
          <w:bCs/>
          <w:color w:val="000000"/>
          <w:lang w:val="es-ES"/>
        </w:rPr>
        <w:t xml:space="preserve">Los Proponentes deben suscribir el compromiso anticorrupción contenido en el Anexo 1 en el cual manifiestan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del mismo, sin perjuicio de que tal incumplimiento tenga consecuencias adicionales.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C. Costos derivados de participar en el Proceso de Contratación</w:t>
      </w:r>
    </w:p>
    <w:p>
      <w:pPr>
        <w:pStyle w:val="Normal"/>
        <w:jc w:val="both"/>
        <w:rPr/>
      </w:pPr>
      <w:r>
        <w:rPr>
          <w:rFonts w:cs="Arial" w:ascii="Arial Narrow" w:hAnsi="Arial Narrow"/>
          <w:bCs/>
          <w:color w:val="000000"/>
          <w:lang w:val="es-ES"/>
        </w:rPr>
        <w:t xml:space="preserve">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  </w:t>
      </w:r>
    </w:p>
    <w:p>
      <w:pPr>
        <w:pStyle w:val="Normal"/>
        <w:jc w:val="both"/>
        <w:rPr>
          <w:rFonts w:ascii="Arial Narrow" w:hAnsi="Arial Narrow" w:cs="Arial"/>
          <w:bCs/>
          <w:color w:val="000000"/>
          <w:lang w:val="es-ES"/>
        </w:rPr>
      </w:pPr>
      <w:r>
        <w:rPr>
          <w:rFonts w:cs="Arial" w:ascii="Arial Narrow" w:hAnsi="Arial Narrow"/>
          <w:bCs/>
          <w:color w:val="000000"/>
          <w:lang w:val="es-ES"/>
        </w:rPr>
      </w:r>
    </w:p>
    <w:tbl>
      <w:tblPr>
        <w:tblW w:w="5935" w:type="dxa"/>
        <w:jc w:val="center"/>
        <w:tblInd w:w="0" w:type="dxa"/>
        <w:tblLayout w:type="fixed"/>
        <w:tblCellMar>
          <w:top w:w="0" w:type="dxa"/>
          <w:left w:w="108" w:type="dxa"/>
          <w:bottom w:w="0" w:type="dxa"/>
          <w:right w:w="108" w:type="dxa"/>
        </w:tblCellMar>
      </w:tblPr>
      <w:tblGrid>
        <w:gridCol w:w="5635"/>
        <w:gridCol w:w="299"/>
      </w:tblGrid>
      <w:tr>
        <w:trPr/>
        <w:tc>
          <w:tcPr>
            <w:tcW w:w="593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GASTOS E IMPUESTOS DE LEGALIZACIÓN</w:t>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
                <w:bCs/>
                <w:color w:val="000000"/>
                <w:sz w:val="20"/>
                <w:szCs w:val="20"/>
                <w:lang w:val="es-ES"/>
              </w:rPr>
            </w:pPr>
            <w:r>
              <w:rPr>
                <w:rFonts w:cs="Arial" w:ascii="Arial Narrow" w:hAnsi="Arial Narrow"/>
                <w:b/>
                <w:bCs/>
                <w:color w:val="000000"/>
                <w:sz w:val="20"/>
                <w:szCs w:val="20"/>
                <w:lang w:val="es-ES"/>
              </w:rPr>
              <w:t>ADMINISTRATIVOS</w:t>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Cuadrculamedia1-nfasis21"/>
              <w:suppressAutoHyphens w:val="false"/>
              <w:snapToGrid w:val="false"/>
              <w:spacing w:lineRule="auto" w:line="240" w:before="0" w:after="0"/>
              <w:contextualSpacing/>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Cuadrculamedia1-nfasis21"/>
              <w:suppressAutoHyphens w:val="false"/>
              <w:snapToGrid w:val="false"/>
              <w:spacing w:lineRule="auto" w:line="240" w:before="0" w:after="0"/>
              <w:contextualSpacing/>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
                <w:bCs/>
                <w:color w:val="000000"/>
                <w:sz w:val="20"/>
                <w:szCs w:val="20"/>
                <w:lang w:val="es-ES"/>
              </w:rPr>
            </w:pPr>
            <w:r>
              <w:rPr>
                <w:rFonts w:cs="Arial" w:ascii="Arial Narrow" w:hAnsi="Arial Narrow"/>
                <w:b/>
                <w:bCs/>
                <w:color w:val="000000"/>
                <w:sz w:val="20"/>
                <w:szCs w:val="20"/>
                <w:lang w:val="es-ES"/>
              </w:rPr>
              <w:t>SUBTOTAL</w:t>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r>
        <w:trPr/>
        <w:tc>
          <w:tcPr>
            <w:tcW w:w="5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
                <w:bCs/>
                <w:color w:val="000000"/>
                <w:sz w:val="20"/>
                <w:szCs w:val="20"/>
                <w:lang w:val="es-ES"/>
              </w:rPr>
            </w:pPr>
            <w:r>
              <w:rPr>
                <w:rFonts w:cs="Arial" w:ascii="Arial Narrow" w:hAnsi="Arial Narrow"/>
                <w:b/>
                <w:bCs/>
                <w:color w:val="000000"/>
                <w:sz w:val="20"/>
                <w:szCs w:val="20"/>
                <w:lang w:val="es-ES"/>
              </w:rPr>
              <w:t>TOTAL GASTOS DE ADMINISTRACIÓN</w:t>
            </w:r>
          </w:p>
        </w:tc>
        <w:tc>
          <w:tcPr>
            <w:tcW w:w="29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c>
      </w:tr>
    </w:tbl>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D. Comunicaciones</w:t>
      </w:r>
    </w:p>
    <w:p>
      <w:pPr>
        <w:pStyle w:val="Normal"/>
        <w:jc w:val="both"/>
        <w:rPr>
          <w:rFonts w:ascii="Arial Narrow" w:hAnsi="Arial Narrow" w:cs="Arial Narrow"/>
          <w:color w:val="000000"/>
        </w:rPr>
      </w:pPr>
      <w:r>
        <w:rPr>
          <w:rFonts w:cs="Arial" w:ascii="Arial Narrow" w:hAnsi="Arial Narrow"/>
          <w:bCs/>
          <w:color w:val="000000"/>
          <w:lang w:val="es-ES"/>
        </w:rPr>
        <w:t>Las comunicaciones en el marco del Proceso de Contratación deben hacerse por escrito, por medio físico o electrónico, a cualquiera de las siguientes direcciones: calle 36 # 15 – 32, piso 4, Edificio Colseguros, Municipio de Bucaramanga, de Lunes a Viernes, en el Horario de 7:30 am a 12:00 m, y de 1:00 pm a 5:00 pm en días laborales, o al correo electrónico</w:t>
      </w:r>
      <w:r>
        <w:rPr>
          <w:rFonts w:cs="Arial Narrow" w:ascii="Arial Narrow" w:hAnsi="Arial Narrow"/>
          <w:color w:val="000000"/>
        </w:rPr>
        <w:t xml:space="preserve"> XXXXXXXXXXXXXXXX</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 comunicación debe contener: </w:t>
      </w:r>
      <w:r>
        <w:rPr>
          <w:rFonts w:cs="Arial" w:ascii="Arial Narrow" w:hAnsi="Arial Narrow"/>
          <w:b/>
          <w:bCs/>
          <w:color w:val="000000"/>
          <w:lang w:val="es-ES"/>
        </w:rPr>
        <w:t>(a)</w:t>
      </w:r>
      <w:r>
        <w:rPr>
          <w:rFonts w:cs="Arial" w:ascii="Arial Narrow" w:hAnsi="Arial Narrow"/>
          <w:bCs/>
          <w:color w:val="000000"/>
          <w:lang w:val="es-ES"/>
        </w:rPr>
        <w:t xml:space="preserve"> el número del presente Proceso de Contratación Concurso de Méritos Abierto </w:t>
      </w:r>
      <w:r>
        <w:rPr>
          <w:rFonts w:cs="Arial" w:ascii="Arial Narrow" w:hAnsi="Arial Narrow"/>
          <w:b/>
          <w:bCs/>
          <w:color w:val="000000"/>
          <w:lang w:val="es-ES"/>
        </w:rPr>
        <w:t>XXXXXXX</w:t>
      </w:r>
      <w:r>
        <w:rPr>
          <w:rFonts w:cs="Arial" w:ascii="Arial Narrow" w:hAnsi="Arial Narrow"/>
          <w:bCs/>
          <w:color w:val="000000"/>
          <w:lang w:val="es-ES"/>
        </w:rPr>
        <w:t xml:space="preserve">; </w:t>
      </w:r>
      <w:r>
        <w:rPr>
          <w:rFonts w:cs="Arial" w:ascii="Arial Narrow" w:hAnsi="Arial Narrow"/>
          <w:b/>
          <w:bCs/>
          <w:color w:val="000000"/>
          <w:lang w:val="es-ES"/>
        </w:rPr>
        <w:t>(b)</w:t>
      </w:r>
      <w:r>
        <w:rPr>
          <w:rFonts w:cs="Arial" w:ascii="Arial Narrow" w:hAnsi="Arial Narrow"/>
          <w:bCs/>
          <w:color w:val="000000"/>
          <w:lang w:val="es-ES"/>
        </w:rPr>
        <w:t xml:space="preserve"> los datos del remitente que incluyen nombre, dirección física, dirección electrónica y teléfono; </w:t>
      </w:r>
      <w:r>
        <w:rPr>
          <w:rFonts w:cs="Arial" w:ascii="Arial Narrow" w:hAnsi="Arial Narrow"/>
          <w:b/>
          <w:bCs/>
          <w:color w:val="000000"/>
          <w:lang w:val="es-ES"/>
        </w:rPr>
        <w:t>(c)</w:t>
      </w:r>
      <w:r>
        <w:rPr>
          <w:rFonts w:cs="Arial" w:ascii="Arial Narrow" w:hAnsi="Arial Narrow"/>
          <w:bCs/>
          <w:color w:val="000000"/>
          <w:lang w:val="es-ES"/>
        </w:rPr>
        <w:t xml:space="preserve"> identificación de los anexos presentados con la comunicación.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Las comunicaciones y solicitudes enviadas al Instituto de Vivienda de Interés social por canales distintos a los mencionados solo serán tenidas en cuenta para los propósitos del Proceso de Contratación cuando sean radicadas a través del canal que corresponda. El Instituto de Vivienda de Interés Social y Reforma Urbana del Municipio de Bucaramanga – INVISBU, debe responder las comunicaciones recibidas por escrito enviado a la dirección física o electrónica señalada en la comunicación que responde.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E. Idioma</w:t>
      </w:r>
    </w:p>
    <w:p>
      <w:pPr>
        <w:pStyle w:val="Normal"/>
        <w:jc w:val="both"/>
        <w:rPr/>
      </w:pPr>
      <w:r>
        <w:rPr>
          <w:rFonts w:cs="Arial" w:ascii="Arial Narrow" w:hAnsi="Arial Narrow"/>
          <w:bCs/>
          <w:color w:val="000000"/>
          <w:lang w:val="es-ES"/>
        </w:rPr>
        <w:t xml:space="preserve">Los documentos y las comunicaciones entregadas, enviadas o expedidas por los Proponentes o por terceros para efectos del Proceso de Contratación, o para ser tenidos en cuenta en el mismo, deben ser otorgados en castellano. La Oferta y sus anexos deben ser presentados en castellano. Los documentos con los cuales los Proponentes acrediten los requisitos habilitantes de que trata la sección VI que estén en una lengua extranjera, deben ser traducidos al castellano y presentarse junto con su original otorgado en lengua extranjera. Para firmar el contrato, el Proponente que resulte adjudicatario debe presentar la traducción oficial al castellano de los documentos presentados por escrito en idioma extranjero, la cual deberá ser oficial en los términos del artículo 251 del Código General del Proceso, cumpliendo el trámite de Apostilla o consularización.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F. Legalización de documentos otorgados en el Exterior</w:t>
      </w:r>
    </w:p>
    <w:p>
      <w:pPr>
        <w:pStyle w:val="Normal"/>
        <w:jc w:val="both"/>
        <w:rPr/>
      </w:pPr>
      <w:r>
        <w:rPr>
          <w:rFonts w:cs="Arial" w:ascii="Arial Narrow" w:hAnsi="Arial Narrow"/>
          <w:bCs/>
          <w:color w:val="000000"/>
          <w:lang w:val="es-ES"/>
        </w:rPr>
        <w:t xml:space="preserve">Los Proponentes deben entregar con su Oferta los documentos otorgados en el exterior sin que sea necesaria su legalización. Para firmar el Contrato, el Proponente que resulte adjudicatario debe presentar los documentos otorgados en el extranjero, legalizados de acuerdo con lo previsto en el artículo 251 del Código General del Proceso.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G. Conversión de monedas</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Los Proponentes deben presentar sus estados financieros en la moneda legal del país en el cual fueron emitidos y adicionalmente en pesos colombianos.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Si está expresado originalmente en una moneda diferente a dólares de los Estados Unidos de Norte América, debe convertirse a ésta moneda utilizando para ello el valor correspondiente con el siguiente procedimiento de conversión: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Si está expresado originalmente en Dólares de los Estados Unidos de Norte América los valores se convertirán a pesos colombianos, utilizando para ello el valor de la tasa representativa del mercado correspondiente a la fecha de cierre del balance, certificadas por el Banco de la República, para lo cual el proponente deberá indicar la tasa representativa del mercado utilizada para la conversión.</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Si está expresado originalmente en una moneda o unidad de cuenta diferente a Dólares de los Estados Unidos de Norte América, deberá convertirse a ésta moneda, utilizando para ello el valor correspondiente a la tasas de cambio vigentes entre el dólar y dicha moneda a la fecha de cierre del balance (utilizando para tal efecto la página web http://www.oanda.com en la pestaña Currency Converter. Tipo de cambio: interbancario y Tasa: promedio compra). Hecho esto se procederá en la forma que señala el numeral anterior.</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jc w:val="both"/>
        <w:rPr>
          <w:sz w:val="24"/>
          <w:szCs w:val="24"/>
        </w:rPr>
      </w:pPr>
      <w:r>
        <w:rPr>
          <w:sz w:val="24"/>
          <w:szCs w:val="24"/>
        </w:rPr>
        <w:t xml:space="preserve">H. </w:t>
      </w:r>
      <w:r>
        <w:rPr>
          <w:sz w:val="24"/>
          <w:szCs w:val="24"/>
          <w:lang w:val="es-CO"/>
        </w:rPr>
        <w:t>C</w:t>
      </w:r>
      <w:r>
        <w:rPr>
          <w:sz w:val="24"/>
          <w:szCs w:val="24"/>
        </w:rPr>
        <w:t xml:space="preserve">onvocatoria limitada a mipymes. </w:t>
      </w:r>
    </w:p>
    <w:p>
      <w:pPr>
        <w:pStyle w:val="Normal"/>
        <w:rPr>
          <w:sz w:val="24"/>
          <w:szCs w:val="24"/>
          <w:lang w:val="es-CO"/>
        </w:rPr>
      </w:pPr>
      <w:r>
        <w:rPr>
          <w:sz w:val="24"/>
          <w:szCs w:val="24"/>
          <w:lang w:val="es-CO"/>
        </w:rPr>
      </w:r>
    </w:p>
    <w:p>
      <w:pPr>
        <w:pStyle w:val="Normal"/>
        <w:rPr>
          <w:lang w:val="es-CO"/>
        </w:rPr>
      </w:pPr>
      <w:r>
        <w:rPr>
          <w:lang w:val="es-CO"/>
        </w:rPr>
      </w:r>
    </w:p>
    <w:p>
      <w:pPr>
        <w:pStyle w:val="Heading2"/>
        <w:numPr>
          <w:ilvl w:val="1"/>
          <w:numId w:val="1"/>
        </w:numPr>
        <w:spacing w:lineRule="auto" w:line="240"/>
        <w:ind w:hanging="0" w:left="0"/>
        <w:rPr/>
      </w:pPr>
      <w:r>
        <w:rPr>
          <w:sz w:val="24"/>
          <w:szCs w:val="24"/>
          <w:lang w:val="es-CO"/>
        </w:rPr>
        <w:t xml:space="preserve">I. </w:t>
      </w:r>
      <w:r>
        <w:rPr>
          <w:sz w:val="24"/>
          <w:szCs w:val="24"/>
        </w:rPr>
        <w:t>Modalidad de Selección y Justificación</w:t>
      </w:r>
    </w:p>
    <w:p>
      <w:pPr>
        <w:pStyle w:val="Cuadrculamedia1-nfasis21"/>
        <w:spacing w:lineRule="auto" w:line="240" w:before="0" w:after="0"/>
        <w:ind w:hanging="0" w:left="0" w:right="51"/>
        <w:jc w:val="both"/>
        <w:rPr>
          <w:rFonts w:ascii="Arial Narrow" w:hAnsi="Arial Narrow" w:cs="Arial Narrow"/>
          <w:sz w:val="24"/>
          <w:szCs w:val="24"/>
        </w:rPr>
      </w:pPr>
      <w:r>
        <w:rPr>
          <w:rFonts w:cs="Arial Narrow" w:ascii="Arial Narrow" w:hAnsi="Arial Narrow"/>
          <w:sz w:val="24"/>
          <w:szCs w:val="24"/>
        </w:rPr>
        <w:t>Con fundamento en el artículo 30 de la Ley 80 de 1993, concordado con el numeral 1º del artículo 2º de la Ley 1150 de 2007, es deber de la entidad justificar de manera previa a la apertura del proceso de selección de que se trate, los fundamentos jurídicos que soportan la modalidad de selección que se propone adelantar. De acuerdo con la descripción del objeto a contratar su naturaleza jurídica y en atención a su cuantía, es jurídicamente viable establecer la escogencia del contratista a través de un CONCURSO DE MÉRITOS ABIERTO. El marco legal del presente proceso y del Contrato que se derive de su adjudicación, está conformado por la Constitución Política, las leyes de la República de Colombia, en especial por la Ley 80 de 1993, Ley 1150 de 2007, Ley 1474 de 2011, Decreto 019 de 2012, Decreto 1082 de 2015, el presente pliego de condiciones y demás normas concordantes. Dichas normas, así como las demás que resulten pertinentes, de acuerdo con la ley colombiana, se presumen conocidas por todos los Proponentes. En general, las normas legales aplicables durante el proceso de selección y de ejecución del contrato serán las estipuladas en el pliego de condiciones, en el manual de contratación del INVISBU y las propias vigentes en Colombia sobre la materia.</w:t>
      </w:r>
    </w:p>
    <w:p>
      <w:pPr>
        <w:pStyle w:val="Normal"/>
        <w:jc w:val="both"/>
        <w:rPr>
          <w:rFonts w:ascii="Arial Narrow" w:hAnsi="Arial Narrow" w:cs="Arial"/>
          <w:bCs/>
          <w:color w:val="000000"/>
          <w:sz w:val="24"/>
          <w:szCs w:val="24"/>
          <w:lang w:val="es-CO"/>
        </w:rPr>
      </w:pPr>
      <w:r>
        <w:rPr>
          <w:rFonts w:cs="Arial" w:ascii="Arial Narrow" w:hAnsi="Arial Narrow"/>
          <w:bCs/>
          <w:color w:val="000000"/>
          <w:sz w:val="24"/>
          <w:szCs w:val="24"/>
          <w:lang w:val="es-CO"/>
        </w:rPr>
      </w:r>
    </w:p>
    <w:p>
      <w:pPr>
        <w:pStyle w:val="Heading1"/>
        <w:numPr>
          <w:ilvl w:val="0"/>
          <w:numId w:val="1"/>
        </w:numPr>
        <w:spacing w:lineRule="auto" w:line="240"/>
        <w:ind w:hanging="0" w:left="0"/>
        <w:rPr>
          <w:sz w:val="24"/>
          <w:szCs w:val="24"/>
        </w:rPr>
      </w:pPr>
      <w:bookmarkStart w:id="2" w:name="__RefHeading___Toc482871737"/>
      <w:bookmarkEnd w:id="2"/>
      <w:r>
        <w:rPr>
          <w:sz w:val="24"/>
          <w:szCs w:val="24"/>
        </w:rPr>
        <w:t>III. Definiciones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entendidas de acuerdo con la definición contenida en el Decreto 1082 del 2015. Los términos no definidos a continuación deben entenderse de acuerdo con su significado natural y obvio.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ACUERDOS COMERCIALES:</w:t>
      </w:r>
      <w:r>
        <w:rPr>
          <w:rFonts w:cs="Arial" w:ascii="Arial Narrow" w:hAnsi="Arial Narrow"/>
          <w:bCs/>
          <w:color w:val="000000"/>
          <w:lang w:val="es-ES"/>
        </w:rPr>
        <w:t xml:space="preserve"> Tratados internacionales vigentes celebrados por el estado colombiano, que contienen derechos y obligaciones en materia de compras públicas, en los cuales existe como mínimo compromiso de trato nacional para: (i) los bienes y servicios de origen colombiano y (ii) los proveedores colombianos.</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ACUERDO MARCO DE PRECIOS</w:t>
      </w:r>
      <w:r>
        <w:rPr>
          <w:rFonts w:cs="Arial" w:ascii="Arial Narrow" w:hAnsi="Arial Narrow"/>
          <w:bCs/>
          <w:color w:val="000000"/>
          <w:lang w:val="es-ES"/>
        </w:rPr>
        <w:t>: Contrato celebrado entre uno o proveedores y Colombia Compra Eficiente, o quien haga sus veces, para la provisión a Entidades Estatales Bienes y Servicios de Técnicas Uniformes, en la forma, plazo y condiciones establecidas en este.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ADENDAS:</w:t>
      </w:r>
      <w:r>
        <w:rPr>
          <w:rFonts w:cs="Arial" w:ascii="Arial Narrow" w:hAnsi="Arial Narrow"/>
          <w:bCs/>
          <w:color w:val="000000"/>
          <w:lang w:val="es-ES"/>
        </w:rPr>
        <w:t xml:space="preserve"> Documento por medio cual la Entidad Estatal modifica los pliegos de condiciones.</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BIENES NACIONALES</w:t>
      </w:r>
      <w:r>
        <w:rPr>
          <w:rFonts w:cs="Arial" w:ascii="Arial Narrow" w:hAnsi="Arial Narrow"/>
          <w:bCs/>
          <w:color w:val="000000"/>
          <w:lang w:val="es-ES"/>
        </w:rPr>
        <w:t>: definidos como en el Registro Productores Bienes Nacionales, de conformidad con el Decreto 2680 2009 o normas que lo modifiquen, aclaren, adicionen o sustituyan.</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
          <w:bCs/>
          <w:color w:val="000000"/>
          <w:lang w:val="es-ES"/>
        </w:rPr>
        <w:t>CATÁLOGO PARA ACUERDOS MARCO DE PRECIOS:</w:t>
      </w:r>
      <w:r>
        <w:rPr>
          <w:rFonts w:cs="Arial" w:ascii="Arial Narrow" w:hAnsi="Arial Narrow"/>
          <w:bCs/>
          <w:color w:val="000000"/>
          <w:lang w:val="es-ES"/>
        </w:rPr>
        <w:t xml:space="preserve"> Ficha que contiene: (a) la lista de bienes y/o servicios; (b) condiciones de su contratación que están amparadas por un Acuerdo Marco de Precios; y (c) la lista de los contratistas que son del Acuerdo Marco de Precios.</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
          <w:bCs/>
          <w:color w:val="000000"/>
          <w:lang w:val="es-ES"/>
        </w:rPr>
        <w:t>CLASIFICADOR DE BIENES Y SERVICIOS:</w:t>
      </w:r>
      <w:r>
        <w:rPr>
          <w:rFonts w:cs="Arial" w:ascii="Arial Narrow" w:hAnsi="Arial Narrow"/>
          <w:bCs/>
          <w:color w:val="000000"/>
          <w:lang w:val="es-ES"/>
        </w:rPr>
        <w:t xml:space="preserve"> Sistema de codificación de las Naciones Unidas para estandarizar productos y servicios, conocido por siglas UNSPSC.</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COLOMBIA COMPRA EFICIENTE</w:t>
      </w:r>
      <w:r>
        <w:rPr>
          <w:rFonts w:cs="Arial" w:ascii="Arial Narrow" w:hAnsi="Arial Narrow"/>
          <w:bCs/>
          <w:color w:val="000000"/>
          <w:lang w:val="es-ES"/>
        </w:rPr>
        <w:t>: Agencia Nacional de Contratación creada por medio del Decreto-Ley 4170 de 2011.</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CRONOGRAMA:</w:t>
      </w:r>
      <w:r>
        <w:rPr>
          <w:rFonts w:cs="Arial" w:ascii="Arial Narrow" w:hAnsi="Arial Narrow"/>
          <w:bCs/>
          <w:color w:val="000000"/>
          <w:lang w:val="es-ES"/>
        </w:rPr>
        <w:t xml:space="preserve"> Documento en el cual Entidad establece las fechas, horas y plazos las actividades propias del Proceso de Contratación y el lugar en el estas deben llevarse a cabo.</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DOCUMENTOS DEL PROCESO SON:</w:t>
      </w:r>
      <w:r>
        <w:rPr>
          <w:rFonts w:cs="Arial" w:ascii="Arial Narrow" w:hAnsi="Arial Narrow"/>
          <w:bCs/>
          <w:color w:val="000000"/>
          <w:lang w:val="es-ES"/>
        </w:rPr>
        <w:t xml:space="preserve"> (a) los estudios y documentos previos (b) aviso de convocatoria; (c) pliegos de condiciones o la invitación; (d) Adendas; (e) oferta; (f) informe de evaluación; (g) el contrato; y cualquier otro documento expedido por la Entidad Estatal durante el Proceso Contratación.</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ENTIDAD ESTATAL:</w:t>
      </w:r>
      <w:r>
        <w:rPr>
          <w:rFonts w:cs="Arial" w:ascii="Arial Narrow" w:hAnsi="Arial Narrow"/>
          <w:bCs/>
          <w:color w:val="000000"/>
          <w:lang w:val="es-ES"/>
        </w:rPr>
        <w:t xml:space="preserve"> Cada una las entidades (a) a las que se refiere el artículo 2 de Ley 80 1993; (b) a las que se refiere los artículos 10, 14 Y 24 de la Ley 1150 de 2007 y (c) aquellas entidades que por disposición de ley deban aplicar la Ley 80 1993 Y la 1150 2007, o las normas que las modifiquen, aclaren, adicionen o sustituyan.</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
          <w:bCs/>
          <w:color w:val="000000"/>
          <w:lang w:val="es-ES"/>
        </w:rPr>
        <w:t>ETAPAS DEL CONTRATO:</w:t>
      </w:r>
      <w:r>
        <w:rPr>
          <w:rFonts w:cs="Arial" w:ascii="Arial Narrow" w:hAnsi="Arial Narrow"/>
          <w:bCs/>
          <w:color w:val="000000"/>
          <w:lang w:val="es-ES"/>
        </w:rPr>
        <w:t xml:space="preserve"> Fases en las que se divide la ejecución del contrato, teniendo en cuenta las actividades propias de cada una de ellas las cuales pueden ser utilizadas por la Entidad Estatal para estructurar las garantías del contrato.</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GRANDES SUPERFICIES:</w:t>
      </w:r>
      <w:r>
        <w:rPr>
          <w:rFonts w:cs="Arial" w:ascii="Arial Narrow" w:hAnsi="Arial Narrow"/>
          <w:bCs/>
          <w:color w:val="000000"/>
          <w:lang w:val="es-ES"/>
        </w:rPr>
        <w:t xml:space="preserve"> Establecimientos de comercio que venden bienes de consumo masivo al detal y tienen las condiciones financieras definidas por la Superintendencia de Industria y Comercio.</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MIPYME:</w:t>
      </w:r>
      <w:r>
        <w:rPr>
          <w:rFonts w:cs="Arial" w:ascii="Arial Narrow" w:hAnsi="Arial Narrow"/>
          <w:bCs/>
          <w:color w:val="000000"/>
          <w:lang w:val="es-ES"/>
        </w:rPr>
        <w:t xml:space="preserve"> Micro, pequeña y mediana empresa medida de acuerdo con la ley vigente aplicable.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PERÍODO CONTRACTUAL:</w:t>
      </w:r>
      <w:r>
        <w:rPr>
          <w:rFonts w:cs="Arial" w:ascii="Arial Narrow" w:hAnsi="Arial Narrow"/>
          <w:bCs/>
          <w:color w:val="000000"/>
          <w:lang w:val="es-ES"/>
        </w:rPr>
        <w:t xml:space="preserve"> Cada una de las fracciones temporales en las que se divide la ejecución del contrato, las cuales pueden ser utilizadas por la Entidad Estatal para estructurar las garantías del contrato.</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PLAN ANUAL DE ADQUISICIONES:</w:t>
      </w:r>
      <w:r>
        <w:rPr>
          <w:rFonts w:cs="Arial" w:ascii="Arial Narrow" w:hAnsi="Arial Narrow"/>
          <w:bCs/>
          <w:color w:val="000000"/>
          <w:lang w:val="es-ES"/>
        </w:rPr>
        <w:t xml:space="preserve"> Plan general de compras al que se refiere el artículo 74 de la Ley 1474 de 2011 y el plan de compras al que se refiere la Ley Anual de Presupuesto. Es un instrumento de planeación contractual que las Entidades Estatales deben diligenciar, publicar y actualizar en los términos del presente título.</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PROCESO DE CONTRATACIÓN:</w:t>
      </w:r>
      <w:r>
        <w:rPr>
          <w:rFonts w:cs="Arial" w:ascii="Arial Narrow" w:hAnsi="Arial Narrow"/>
          <w:bCs/>
          <w:color w:val="000000"/>
          <w:lang w:val="es-ES"/>
        </w:rPr>
        <w:t xml:space="preserve">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RIESGO:</w:t>
      </w:r>
      <w:r>
        <w:rPr>
          <w:rFonts w:cs="Arial" w:ascii="Arial Narrow" w:hAnsi="Arial Narrow"/>
          <w:bCs/>
          <w:color w:val="000000"/>
          <w:lang w:val="es-ES"/>
        </w:rPr>
        <w:t xml:space="preserve"> Evento que puede generar efectos adversos y de distinta magnitud en el logro de los objetivos del Proceso de Contratación o en la ejecución de un Contrato.</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RUP:</w:t>
      </w:r>
      <w:r>
        <w:rPr>
          <w:rFonts w:cs="Arial" w:ascii="Arial Narrow" w:hAnsi="Arial Narrow"/>
          <w:bCs/>
          <w:color w:val="000000"/>
          <w:lang w:val="es-ES"/>
        </w:rPr>
        <w:t xml:space="preserve"> Registro único de proponentes que llevan las cámaras de comercio y en el cual los interesados en participar en Procesos de Contratación deben estar inscritos.</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
          <w:bCs/>
          <w:color w:val="000000"/>
          <w:lang w:val="es-ES"/>
        </w:rPr>
        <w:t>SERVICIOS NACIONALES:</w:t>
      </w:r>
      <w:r>
        <w:rPr>
          <w:rFonts w:cs="Arial" w:ascii="Arial Narrow" w:hAnsi="Arial Narrow"/>
          <w:bCs/>
          <w:color w:val="000000"/>
          <w:lang w:val="es-ES"/>
        </w:rPr>
        <w:t xml:space="preserve"> Servicios prestados por personas naturales colombianas o residentes en Colombia o por personas jurídicas constituidas de conformidad con la legislación colombiana.</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
          <w:bCs/>
          <w:color w:val="000000"/>
          <w:lang w:val="es-ES"/>
        </w:rPr>
        <w:t>SECOP:</w:t>
      </w:r>
      <w:r>
        <w:rPr>
          <w:rFonts w:cs="Arial" w:ascii="Arial Narrow" w:hAnsi="Arial Narrow"/>
          <w:bCs/>
          <w:color w:val="000000"/>
          <w:lang w:val="es-ES"/>
        </w:rPr>
        <w:t xml:space="preserve"> Sistema Electrónico para la Contratación Pública al que se refiere el artículo 3 de la Ley 1150 de 2007</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
          <w:bCs/>
          <w:color w:val="000000"/>
          <w:lang w:val="es-ES"/>
        </w:rPr>
        <w:t>SMMLV:</w:t>
      </w:r>
      <w:r>
        <w:rPr>
          <w:rFonts w:cs="Arial" w:ascii="Arial Narrow" w:hAnsi="Arial Narrow"/>
          <w:bCs/>
          <w:color w:val="000000"/>
          <w:lang w:val="es-ES"/>
        </w:rPr>
        <w:t xml:space="preserve"> Salario mínimo mensual legal vigente. (Decreto 1082 -2015 Art 2.2.1.1.1.3.1.)</w:t>
      </w:r>
    </w:p>
    <w:p>
      <w:pPr>
        <w:pStyle w:val="Heading1"/>
        <w:numPr>
          <w:ilvl w:val="0"/>
          <w:numId w:val="1"/>
        </w:numPr>
        <w:ind w:hanging="0" w:left="0"/>
        <w:rPr>
          <w:rFonts w:ascii="Arial Narrow" w:hAnsi="Arial Narrow" w:cs="Arial"/>
          <w:bCs w:val="false"/>
          <w:color w:val="000000"/>
          <w:lang w:val="es-ES"/>
        </w:rPr>
      </w:pPr>
      <w:r>
        <w:rPr>
          <w:rFonts w:cs="Arial"/>
          <w:bCs w:val="false"/>
          <w:color w:val="000000"/>
          <w:lang w:val="es-ES"/>
        </w:rPr>
      </w:r>
    </w:p>
    <w:p>
      <w:pPr>
        <w:pStyle w:val="Heading1"/>
        <w:numPr>
          <w:ilvl w:val="0"/>
          <w:numId w:val="1"/>
        </w:numPr>
        <w:ind w:hanging="0" w:left="0"/>
        <w:rPr>
          <w:sz w:val="24"/>
          <w:szCs w:val="24"/>
          <w:lang w:val="es-CO"/>
        </w:rPr>
      </w:pPr>
      <w:bookmarkStart w:id="3" w:name="__RefHeading___Toc482871738"/>
      <w:bookmarkEnd w:id="3"/>
      <w:r>
        <w:rPr>
          <w:sz w:val="24"/>
          <w:szCs w:val="24"/>
        </w:rPr>
        <w:t>IV. ETAPAS Y REGLAS DEL PROCEDIMIENTO</w:t>
      </w:r>
    </w:p>
    <w:p>
      <w:pPr>
        <w:pStyle w:val="Heading1"/>
        <w:numPr>
          <w:ilvl w:val="0"/>
          <w:numId w:val="1"/>
        </w:numPr>
        <w:ind w:hanging="0" w:left="0"/>
        <w:rPr>
          <w:sz w:val="24"/>
          <w:szCs w:val="24"/>
          <w:lang w:val="es-CO"/>
        </w:rPr>
      </w:pPr>
      <w:r>
        <w:rPr>
          <w:sz w:val="24"/>
          <w:szCs w:val="24"/>
          <w:lang w:val="es-CO"/>
        </w:rPr>
      </w:r>
    </w:p>
    <w:p>
      <w:pPr>
        <w:pStyle w:val="Heading1"/>
        <w:numPr>
          <w:ilvl w:val="0"/>
          <w:numId w:val="1"/>
        </w:numPr>
        <w:ind w:hanging="0" w:left="0"/>
        <w:rPr>
          <w:sz w:val="24"/>
          <w:szCs w:val="24"/>
        </w:rPr>
      </w:pPr>
      <w:bookmarkStart w:id="4" w:name="__RefHeading___Toc482871739"/>
      <w:bookmarkEnd w:id="4"/>
      <w:r>
        <w:rPr>
          <w:sz w:val="24"/>
          <w:szCs w:val="24"/>
        </w:rPr>
        <w:t>A. Aviso de Convocatoria</w:t>
      </w:r>
    </w:p>
    <w:p>
      <w:pPr>
        <w:pStyle w:val="Normal"/>
        <w:jc w:val="both"/>
        <w:rPr>
          <w:rFonts w:ascii="Arial Narrow" w:hAnsi="Arial Narrow" w:cs="Arial Narrow"/>
          <w:color w:val="000000"/>
        </w:rPr>
      </w:pPr>
      <w:r>
        <w:rPr>
          <w:rFonts w:cs="Arial Narrow" w:ascii="Arial Narrow" w:hAnsi="Arial Narrow"/>
          <w:color w:val="000000"/>
        </w:rPr>
        <w:t>De conformidad con lo dispuesto en el artículo 2.2.1.1.1.7.1 del decreto 1082 de 2015, el aviso de convocatoria para la contratación se publica en el SECOP y contiene la información señalada en el artículo 2.2.1.2.2.1.8 del decreto en mención.</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sz w:val="24"/>
          <w:szCs w:val="24"/>
        </w:rPr>
      </w:pPr>
      <w:bookmarkStart w:id="5" w:name="__RefHeading___Toc482871740"/>
      <w:bookmarkEnd w:id="5"/>
      <w:r>
        <w:rPr>
          <w:sz w:val="24"/>
          <w:szCs w:val="24"/>
        </w:rPr>
        <w:t>B. Proyecto de pliego de condiciones</w:t>
      </w:r>
    </w:p>
    <w:p>
      <w:pPr>
        <w:pStyle w:val="Normal"/>
        <w:jc w:val="both"/>
        <w:rPr>
          <w:rFonts w:ascii="Arial Narrow" w:hAnsi="Arial Narrow" w:cs="Arial Narrow"/>
          <w:color w:val="000000"/>
        </w:rPr>
      </w:pPr>
      <w:r>
        <w:rPr>
          <w:rFonts w:cs="Arial Narrow" w:ascii="Arial Narrow" w:hAnsi="Arial Narrow"/>
          <w:color w:val="000000"/>
        </w:rPr>
        <w:t>El proyecto de pliego de condiciones es el documento preparatorio de los pliegos de condiciones definitivo, que contiene las reglas del contrato y del procedimiento de selección. Igualmente, los riesgos asociados al contrato, la forma de mitigarlos y la asignación del riesgo entre las partes contratantes, como lo señala el artículo 2.2.1.1.2.1.2 del Decreto 1082 de 2015.</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Su publicación no genera obligación para el INVISBU de dar apertura al proceso de selección.</w:t>
      </w:r>
    </w:p>
    <w:p>
      <w:pPr>
        <w:pStyle w:val="Normal"/>
        <w:jc w:val="both"/>
        <w:rPr>
          <w:rFonts w:ascii="Arial Narrow" w:hAnsi="Arial Narrow" w:cs="Arial Narrow"/>
          <w:i/>
          <w:i/>
          <w:color w:val="000000"/>
          <w:u w:val="single"/>
        </w:rPr>
      </w:pPr>
      <w:r>
        <w:rPr>
          <w:rFonts w:cs="Arial Narrow" w:ascii="Arial Narrow" w:hAnsi="Arial Narrow"/>
          <w:i/>
          <w:color w:val="000000"/>
          <w:u w:val="single"/>
        </w:rPr>
        <w:t>Término preclusivo, es decir, no es aceptable realizar observaciones después de vencido el lapso señalado para ello.</w:t>
      </w:r>
    </w:p>
    <w:p>
      <w:pPr>
        <w:pStyle w:val="Normal"/>
        <w:jc w:val="both"/>
        <w:rPr>
          <w:rFonts w:ascii="Arial Narrow" w:hAnsi="Arial Narrow" w:cs="Arial Narrow"/>
          <w:i/>
          <w:i/>
          <w:color w:val="000000"/>
          <w:u w:val="single"/>
        </w:rPr>
      </w:pPr>
      <w:r>
        <w:rPr>
          <w:rFonts w:cs="Arial Narrow" w:ascii="Arial Narrow" w:hAnsi="Arial Narrow"/>
          <w:i/>
          <w:color w:val="000000"/>
          <w:u w:val="single"/>
        </w:rPr>
      </w:r>
    </w:p>
    <w:p>
      <w:pPr>
        <w:pStyle w:val="Heading1"/>
        <w:numPr>
          <w:ilvl w:val="0"/>
          <w:numId w:val="1"/>
        </w:numPr>
        <w:ind w:hanging="0" w:left="0"/>
        <w:rPr>
          <w:sz w:val="24"/>
          <w:szCs w:val="24"/>
        </w:rPr>
      </w:pPr>
      <w:bookmarkStart w:id="6" w:name="__RefHeading___Toc482871741"/>
      <w:bookmarkEnd w:id="6"/>
      <w:r>
        <w:rPr>
          <w:sz w:val="24"/>
          <w:szCs w:val="24"/>
        </w:rPr>
        <w:t>C. Observaciones y sugerencias al proyecto de pliego de condiciones</w:t>
      </w:r>
    </w:p>
    <w:p>
      <w:pPr>
        <w:pStyle w:val="Normal"/>
        <w:jc w:val="both"/>
        <w:rPr>
          <w:rFonts w:ascii="Arial Narrow" w:hAnsi="Arial Narrow" w:cs="Arial Narrow"/>
          <w:color w:val="000000"/>
        </w:rPr>
      </w:pPr>
      <w:r>
        <w:rPr>
          <w:rFonts w:cs="Arial Narrow" w:ascii="Arial Narrow" w:hAnsi="Arial Narrow"/>
          <w:color w:val="000000"/>
        </w:rPr>
        <w:t xml:space="preserve">Los interesados en participar y veedores deben colocar especial interés en el proyecto de pliego de condiciones con el fin de ejercer el derecho a efectuar observaciones y a obtener de la Entidad la manifestación motivada sobre su aceptación o rechazo. </w:t>
      </w:r>
    </w:p>
    <w:p>
      <w:pPr>
        <w:pStyle w:val="Normal"/>
        <w:jc w:val="both"/>
        <w:rPr>
          <w:rFonts w:ascii="Arial Narrow" w:hAnsi="Arial Narrow" w:cs="Arial Narrow"/>
          <w:color w:val="000000"/>
        </w:rPr>
      </w:pPr>
      <w:r>
        <w:rPr>
          <w:rFonts w:cs="Arial Narrow" w:ascii="Arial Narrow" w:hAnsi="Arial Narrow"/>
          <w:color w:val="000000"/>
        </w:rPr>
        <w:t>Lo anterior, por cuanto el artículo 2.2.1.1.2.1.4 del Decreto 1082 de 2015 establece que “los interesados pueden hacer comentarios al proyecto de pliegos de condiciones a partir de la fecha de publicación de los mismos: (b) durante un término de cinco (5) días hábiles en la selección abreviada y concurso de méritos”.</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 xml:space="preserve">Las observaciones y sugerencias deberán ser radicadas en las oficinas del INVISBU o dirigirse a la entidad vía Internet, al correo </w:t>
      </w:r>
      <w:r>
        <w:rPr>
          <w:rFonts w:cs="Arial Narrow" w:ascii="Arial Narrow" w:hAnsi="Arial Narrow"/>
          <w:b/>
          <w:color w:val="000000"/>
          <w:u w:val="single"/>
        </w:rPr>
        <w:t>XXXXXXXXXXXXXXXX</w:t>
      </w:r>
      <w:r>
        <w:rPr>
          <w:rFonts w:cs="Arial Narrow" w:ascii="Arial Narrow" w:hAnsi="Arial Narrow"/>
          <w:color w:val="000000"/>
        </w:rPr>
        <w:t>, para lo cual deben suministrar el nombre, dirección de correspondencia y/o electrónica y el número telefónico del interesado.</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En cumplimiento de lo dispuesto en el artículo 2.2.1.1.1.7.1.del Decreto 1082 de 2015 el INVISBU publicará las observaciones y sugerencias al proyecto de pliego de condiciones y el documento que contenga las apreciaciones de la entidad sobre las observaciones presentadas en el SECOP.</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sz w:val="24"/>
          <w:szCs w:val="24"/>
        </w:rPr>
      </w:pPr>
      <w:bookmarkStart w:id="7" w:name="__RefHeading___Toc482871742"/>
      <w:bookmarkEnd w:id="7"/>
      <w:r>
        <w:rPr>
          <w:sz w:val="24"/>
          <w:szCs w:val="24"/>
        </w:rPr>
        <w:t>D. Acto administrativo de apertura</w:t>
      </w:r>
    </w:p>
    <w:p>
      <w:pPr>
        <w:pStyle w:val="Normal"/>
        <w:jc w:val="both"/>
        <w:rPr/>
      </w:pPr>
      <w:r>
        <w:rPr>
          <w:rFonts w:cs="Arial Narrow" w:ascii="Arial Narrow" w:hAnsi="Arial Narrow"/>
          <w:color w:val="000000"/>
        </w:rPr>
        <w:t xml:space="preserve">El INVISBU en cumplimiento de lo dispuesto en el Artículo 2.2.1.1.2.1.5. del Decreto 1082 de 2015 mediante resolución ordenará la apertura del proceso de selección, la cual publicará en el Sistema Electrónico para la Contratación Pública (SECOP), a través del Portal Único de contratación, página web: </w:t>
      </w:r>
      <w:hyperlink r:id="rId2">
        <w:r>
          <w:rPr>
            <w:rStyle w:val="Hyperlink"/>
            <w:rFonts w:cs="Arial Narrow" w:ascii="Arial Narrow" w:hAnsi="Arial Narrow"/>
            <w:color w:val="000000"/>
          </w:rPr>
          <w:t>www.colombiacompra.gov.co</w:t>
        </w:r>
      </w:hyperlink>
      <w:r>
        <w:rPr>
          <w:rFonts w:cs="Arial Narrow" w:ascii="Arial Narrow" w:hAnsi="Arial Narrow"/>
          <w:color w:val="000000"/>
        </w:rPr>
        <w:t>.</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pPr>
      <w:bookmarkStart w:id="8" w:name="__RefHeading___Toc482871743"/>
      <w:bookmarkEnd w:id="8"/>
      <w:r>
        <w:rPr>
          <w:sz w:val="24"/>
          <w:szCs w:val="24"/>
        </w:rPr>
        <w:t>E. Pliegos de condiciones definitivos:</w:t>
      </w:r>
    </w:p>
    <w:p>
      <w:pPr>
        <w:pStyle w:val="Normal"/>
        <w:jc w:val="both"/>
        <w:rPr/>
      </w:pPr>
      <w:r>
        <w:rPr>
          <w:rFonts w:cs="Arial Narrow" w:ascii="Arial Narrow" w:hAnsi="Arial Narrow"/>
          <w:color w:val="000000"/>
        </w:rPr>
        <w:t xml:space="preserve">Los pliegos de condiciones, serán publicados en la página web: www.colombiacompra.gov.co a través del Portal Único de Contratación y permanecerán a disposición de los interesados en la Oficina del INVISBU. Publicado el pliego de condiciones definitivo cualquier interesado puede solicitar aclaraciones que el INVISBU, responderá mediante comunicación escrita, la cual publicará en el Sistema Electrónico para la Contratación Pública (SECOP), a través del Portal Único de contratación, página web: </w:t>
      </w:r>
      <w:hyperlink r:id="rId3">
        <w:r>
          <w:rPr>
            <w:rStyle w:val="Hyperlink"/>
            <w:rFonts w:cs="Arial Narrow" w:ascii="Arial Narrow" w:hAnsi="Arial Narrow"/>
            <w:color w:val="000000"/>
          </w:rPr>
          <w:t>www.colombiacompra.gov.co</w:t>
        </w:r>
      </w:hyperlink>
      <w:r>
        <w:rPr>
          <w:rFonts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Acorde con lo dispuesto en el artículo 2.2.1.1.2.2.1. Del Decreto 1082 de 2015 la modificación del pliego de condiciones se realizará a través de adendas.</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Por tratarse de un proceso de selección, modalidad Concurso de Méritos, se podrá en cualquier momento y antes de que termine el plazo para la presentación de las propuestas, modificar los documentos del PROCESO mediante adendas numeradas; en este caso se les notificará mediante documento escrito que se publicará en el SECOP. Una vez publicadas dichas adendas se presumirán conocidas por los interesados y serán de obligatorio cumplimiento para los oferentes.</w:t>
      </w:r>
    </w:p>
    <w:p>
      <w:pPr>
        <w:pStyle w:val="Normal"/>
        <w:jc w:val="both"/>
        <w:rPr/>
      </w:pPr>
      <w:r>
        <w:rPr>
          <w:rFonts w:cs="Arial Narrow" w:ascii="Arial Narrow" w:hAnsi="Arial Narrow"/>
          <w:color w:val="000000"/>
        </w:rPr>
        <w:t>Para todos los efectos en caso de expedición de adendas se observarán las condiciones establecidas en el artículo 89 de la ley 1474 de 2011 y el artículo 2.2.1.1.2.2.1. Del Decreto 1082 de 2015.</w:t>
      </w:r>
    </w:p>
    <w:p>
      <w:pPr>
        <w:pStyle w:val="Normal"/>
        <w:jc w:val="both"/>
        <w:rPr>
          <w:rFonts w:ascii="Arial Narrow" w:hAnsi="Arial Narrow" w:cs="Arial Narrow"/>
          <w:color w:val="000000"/>
        </w:rPr>
      </w:pPr>
      <w:r>
        <w:rPr>
          <w:rFonts w:cs="Arial Narrow" w:ascii="Arial Narrow" w:hAnsi="Arial Narrow"/>
          <w:color w:val="000000"/>
        </w:rPr>
        <w:t>La publicación de estas adendas sólo se podrá realizar en días hábiles y horarios laborales”.</w:t>
      </w:r>
    </w:p>
    <w:p>
      <w:pPr>
        <w:pStyle w:val="Normal"/>
        <w:jc w:val="both"/>
        <w:rPr>
          <w:rFonts w:ascii="Arial Narrow" w:hAnsi="Arial Narrow" w:cs="Arial Narrow"/>
          <w:color w:val="000000"/>
        </w:rPr>
      </w:pPr>
      <w:r>
        <w:rPr>
          <w:rFonts w:cs="Arial Narrow" w:ascii="Arial Narrow" w:hAnsi="Arial Narrow"/>
          <w:color w:val="000000"/>
        </w:rPr>
        <w:t>La entidad publicará las adendas entre las 7 a.m. y las 7 p.m.</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pPr>
      <w:bookmarkStart w:id="9" w:name="__RefHeading___Toc482871744"/>
      <w:bookmarkEnd w:id="9"/>
      <w:r>
        <w:rPr>
          <w:sz w:val="24"/>
          <w:szCs w:val="24"/>
        </w:rPr>
        <w:t>F. Plazo y forma de presentación de propuestas</w:t>
      </w:r>
    </w:p>
    <w:p>
      <w:pPr>
        <w:pStyle w:val="Normal"/>
        <w:jc w:val="both"/>
        <w:rPr/>
      </w:pPr>
      <w:r>
        <w:rPr>
          <w:rFonts w:cs="Arial Narrow" w:ascii="Arial Narrow" w:hAnsi="Arial Narrow"/>
          <w:color w:val="000000"/>
        </w:rPr>
        <w:t xml:space="preserve">Las propuestas, junto con sus respectivos documentos, deberán presentarse en dos (2) sobres, el primero que contiene los documentos habilitantes jurídicos y técnicos (SOBRE # 1) y el segundo (SOBRE # 2) que contiene la propuesta económica, los sobres deberán entregarse debidamente cerrados e identificados, en original y una (1) copia cada uno, marcados exteriormente así: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NOMBRE: CONCURSO DE MÉRITOS Nº XXXXXXXXXXX</w:t>
      </w:r>
    </w:p>
    <w:p>
      <w:pPr>
        <w:pStyle w:val="Normal"/>
        <w:jc w:val="both"/>
        <w:rPr/>
      </w:pPr>
      <w:r>
        <w:rPr>
          <w:rFonts w:cs="Arial Narrow" w:ascii="Arial Narrow" w:hAnsi="Arial Narrow"/>
          <w:color w:val="000000"/>
        </w:rPr>
        <w:t>INSTITUTO DE VIVIENDA DE INTERÉS SOCIAL Y REFORMA URBANA DEL MUNICIPIO DE BUCARAMANGA-INVISBU</w:t>
      </w:r>
    </w:p>
    <w:p>
      <w:pPr>
        <w:pStyle w:val="Normal"/>
        <w:jc w:val="both"/>
        <w:rPr>
          <w:rFonts w:ascii="Arial Narrow" w:hAnsi="Arial Narrow" w:cs="Arial Narrow"/>
          <w:color w:val="000000"/>
        </w:rPr>
      </w:pPr>
      <w:r>
        <w:rPr>
          <w:rFonts w:cs="Arial Narrow" w:ascii="Arial Narrow" w:hAnsi="Arial Narrow"/>
          <w:color w:val="000000"/>
        </w:rPr>
        <w:t xml:space="preserve">NOMBRE DEL PROPONENTE: ______________ </w:t>
      </w:r>
    </w:p>
    <w:p>
      <w:pPr>
        <w:pStyle w:val="Normal"/>
        <w:jc w:val="both"/>
        <w:rPr>
          <w:rFonts w:ascii="Arial Narrow" w:hAnsi="Arial Narrow" w:cs="Arial Narrow"/>
          <w:color w:val="000000"/>
        </w:rPr>
      </w:pPr>
      <w:r>
        <w:rPr>
          <w:rFonts w:cs="Arial Narrow" w:ascii="Arial Narrow" w:hAnsi="Arial Narrow"/>
          <w:color w:val="000000"/>
        </w:rPr>
        <w:t xml:space="preserve">DIRECCIÓN: ___________________________ </w:t>
      </w:r>
    </w:p>
    <w:p>
      <w:pPr>
        <w:pStyle w:val="Normal"/>
        <w:jc w:val="both"/>
        <w:rPr>
          <w:rFonts w:ascii="Arial Narrow" w:hAnsi="Arial Narrow" w:cs="Arial Narrow"/>
          <w:color w:val="000000"/>
        </w:rPr>
      </w:pPr>
      <w:r>
        <w:rPr>
          <w:rFonts w:cs="Arial Narrow" w:ascii="Arial Narrow" w:hAnsi="Arial Narrow"/>
          <w:color w:val="000000"/>
        </w:rPr>
        <w:t xml:space="preserve">TELÉFONO: ____________________________ </w:t>
      </w:r>
    </w:p>
    <w:p>
      <w:pPr>
        <w:pStyle w:val="Normal"/>
        <w:jc w:val="both"/>
        <w:rPr>
          <w:rFonts w:ascii="Arial Narrow" w:hAnsi="Arial Narrow" w:cs="Arial Narrow"/>
          <w:color w:val="000000"/>
        </w:rPr>
      </w:pPr>
      <w:r>
        <w:rPr>
          <w:rFonts w:cs="Arial Narrow" w:ascii="Arial Narrow" w:hAnsi="Arial Narrow"/>
          <w:color w:val="000000"/>
        </w:rPr>
        <w:t xml:space="preserve">SOBRE: ________________ (Uno o Dos según Corresponda) </w:t>
      </w:r>
    </w:p>
    <w:p>
      <w:pPr>
        <w:pStyle w:val="Normal"/>
        <w:jc w:val="both"/>
        <w:rPr>
          <w:rFonts w:ascii="Arial Narrow" w:hAnsi="Arial Narrow" w:cs="Arial Narrow"/>
          <w:color w:val="000000"/>
        </w:rPr>
      </w:pPr>
      <w:r>
        <w:rPr>
          <w:rFonts w:cs="Arial Narrow" w:ascii="Arial Narrow" w:hAnsi="Arial Narrow"/>
          <w:color w:val="000000"/>
        </w:rPr>
        <w:t xml:space="preserve">ORIGINAL/COPIA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 xml:space="preserve">La carátula de cada ejemplar deberá rotularse claramente con el número del CONCURSO, el nombre de la misma, el nombre del proponente y la identificación del ejemplar como original o copia. En el caso de discrepancias entre el original y la copia de la propuesta se considerará como válido para la evaluación de la oferta el original de la misma.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 xml:space="preserve">Las propuestas se deben entregar introducir en la urna indicada localizada en el CUARTO PISO de INVISBU ubicado en la calle 36 # 15 – 32, edificio Colseguros, Oficina Jurídica, hasta la fecha y hora establecida en el CRONOGRAMA del presente proceso de selección de contratista.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 xml:space="preserve">EL INVISBU, no será responsable de abrir anticipadamente los sobres que no estén debidamente marcados en la cubierta. La enmendadura, tachadura o repisado de cualquier documento en cualquier parte de los mismos, dará lugar a no ser tenido en cuenta como válido, salvo la anotación o convalidación en el cuerpo del mismo y con la firma de quien lo expide.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La presentación de la oferta será evidencia de que el proponente ha examinado completamente el presente Pliego de condiciones, que ha obtenido las aclaraciones satisfactorias sobre cualquier punto incierto o dudoso y que ha aceptado que todos los documentos están completos y que son compatibles y adecuados. Los proponentes deben referirse y sujetarse a todos y cada uno de los puntos contenidos en los pliegos de condiciones. Los proponentes pueden presentar alternativas y excepciones técnicas o económicas siempre y cuando ellas no signifiquen condicionamientos para la adjudicación, y solo serán tenidos en cuenta como opciones para EL INVISBU, cuando la propuesta básica constituya el mejor ofrecimiento.</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Cada propuesta deberá indicar el nombre del proponente, su residencia, domicilio comercial y deberá estar debidamente firmada por el representante legal del proponente.</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La oferta económica deberá ser expresada en un valor único que refleje a precio global fijo, la totalidad de los gastos directos e indirectos del contrato de consultoría.</w:t>
      </w:r>
    </w:p>
    <w:p>
      <w:pPr>
        <w:pStyle w:val="Normal"/>
        <w:jc w:val="both"/>
        <w:rPr>
          <w:rFonts w:ascii="Arial Narrow" w:hAnsi="Arial Narrow" w:cs="Arial Narrow"/>
          <w:color w:val="000000"/>
        </w:rPr>
      </w:pPr>
      <w:r>
        <w:rPr>
          <w:rFonts w:cs="Arial Narrow" w:ascii="Arial Narrow" w:hAnsi="Arial Narrow"/>
          <w:color w:val="000000"/>
        </w:rPr>
        <w:t xml:space="preserve">El valor de la oferta económica no podrá ser superior al monto establecido como presupuesto oficial, so pena de rechazo de la propuesta.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 xml:space="preserve">El interesado en presentar propuesta debe radicarla en el CUARTO PISO de INVISBU ubicado en la calle 36 # 15 – 32 Piso 4, edificio Colseguros, Oficina Jurídica, para lo cual la entidad debe dejar constancia de la fecha y hora del recibo de las ofertas, indicando el nombre o razón social de los oferentes y sus representantes legales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Las propuestas que reciba el INVISBU, después del plazo estipulado para el cierre del PROCESO DE SELECCIÓN, se considerarán extemporáneas y no serán aceptadas. Serán rechazadas y devueltas al proponente en las mismas condiciones en que fueron recibidas.</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pPr>
      <w:bookmarkStart w:id="10" w:name="__RefHeading___Toc482871745"/>
      <w:bookmarkEnd w:id="10"/>
      <w:r>
        <w:rPr>
          <w:sz w:val="24"/>
          <w:szCs w:val="24"/>
        </w:rPr>
        <w:t>G. Audiencia de apertura de urna:</w:t>
      </w:r>
    </w:p>
    <w:p>
      <w:pPr>
        <w:pStyle w:val="Normal"/>
        <w:jc w:val="both"/>
        <w:rPr/>
      </w:pPr>
      <w:r>
        <w:rPr>
          <w:rFonts w:cs="Arial Narrow" w:ascii="Arial Narrow" w:hAnsi="Arial Narrow"/>
          <w:color w:val="000000"/>
        </w:rPr>
        <w:t>El día del vencimiento del término para presentar las Ofertas, el INVISBU, efectuará el cierre del proceso licitatorio y apertura de las ofertas presentadas, esta audiencia se llevará a cabo conforme a las siguientes reglas:</w:t>
      </w:r>
    </w:p>
    <w:p>
      <w:pPr>
        <w:pStyle w:val="Normal"/>
        <w:jc w:val="both"/>
        <w:rPr/>
      </w:pPr>
      <w:r>
        <w:rPr>
          <w:rFonts w:cs="Arial Narrow" w:ascii="Arial Narrow" w:hAnsi="Arial Narrow"/>
          <w:color w:val="000000"/>
        </w:rPr>
        <w:t>a) Se efectuará la apertura de la urna y del sobre # 1 que contiene la oferta.</w:t>
      </w:r>
    </w:p>
    <w:p>
      <w:pPr>
        <w:pStyle w:val="Normal"/>
        <w:jc w:val="both"/>
        <w:rPr/>
      </w:pPr>
      <w:r>
        <w:rPr>
          <w:rFonts w:cs="Arial Narrow" w:ascii="Arial Narrow" w:hAnsi="Arial Narrow"/>
          <w:color w:val="000000"/>
        </w:rPr>
        <w:t>b) Se procederá a verificar el número de folios de cada una de las ofertas, dejando constancia en ellas del personal encargado de esta actividad.</w:t>
      </w:r>
    </w:p>
    <w:p>
      <w:pPr>
        <w:pStyle w:val="Normal"/>
        <w:jc w:val="both"/>
        <w:rPr/>
      </w:pPr>
      <w:r>
        <w:rPr>
          <w:rFonts w:cs="Arial Narrow" w:ascii="Arial Narrow" w:hAnsi="Arial Narrow"/>
          <w:color w:val="000000"/>
        </w:rPr>
        <w:t>c) Se levantará un acta que contendrá la siguiente información: nombre de los proponentes, hora de presentación, aseguradora y número de la garantía de seriedad de la oferta y número de folios. En la audiencia se dará lectura a la correspondiente acta.</w:t>
      </w:r>
    </w:p>
    <w:p>
      <w:pPr>
        <w:pStyle w:val="Normal"/>
        <w:jc w:val="both"/>
        <w:rPr/>
      </w:pPr>
      <w:r>
        <w:rPr>
          <w:rFonts w:cs="Arial Narrow" w:ascii="Arial Narrow" w:hAnsi="Arial Narrow"/>
          <w:color w:val="000000"/>
        </w:rPr>
        <w:t>d) La diligencia es meramente de trámite, en consecuencia, no habrá lugar a la verificación o revisión de ofertas. El término legal para estudio y revisión de propuestas es la etapa de traslado de las evaluaciones.</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pPr>
      <w:bookmarkStart w:id="11" w:name="__RefHeading___Toc482871746"/>
      <w:bookmarkEnd w:id="11"/>
      <w:r>
        <w:rPr>
          <w:sz w:val="24"/>
          <w:szCs w:val="24"/>
        </w:rPr>
        <w:t>H. Evaluación de las propuestas</w:t>
      </w:r>
    </w:p>
    <w:p>
      <w:pPr>
        <w:pStyle w:val="Normal"/>
        <w:jc w:val="both"/>
        <w:rPr>
          <w:rFonts w:ascii="Arial Narrow" w:hAnsi="Arial Narrow" w:cs="Arial Narrow"/>
          <w:color w:val="000000"/>
        </w:rPr>
      </w:pPr>
      <w:r>
        <w:rPr>
          <w:rFonts w:cs="Arial Narrow" w:ascii="Arial Narrow" w:hAnsi="Arial Narrow"/>
          <w:color w:val="000000"/>
        </w:rPr>
        <w:t>Los oferentes presentaran la propuesta técnica Para la evaluación EL INVISBU ha estimado el otorgamiento a las propuestas técnicas, teniendo como puntaje máximo 1.000 Puntos, aquella oferta que alcance el mayor número de puntos ocupará el primer lugar en el orden de calificación y por ende tendrá la primera opción para la elegibilidad mediante la apertura del sobre que contiene la propuesta económica.</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Para la evaluación y posterior ponderación de la propuesta técnica, la entidad tendrá en cuenta factores de evaluación señalados en los presentes pliegos de condiciones mediante criterios acordes con lo preceptuado en la legislación vigente los factores de evaluación son los siguientes:</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Una vez recibidas las ofertas, el INVISBU las revisará para determinar si ellas son admisibles. Se analizarán los aspectos habilitantes; efectuando un estudio con el fin de determinar si las ofertas se encuentran conformes a las condiciones exigidas en este pliego de condiciones. En dicho término se podrá solicitar a los proponentes las aclaraciones y explicaciones que se estimen indispensables.</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El resultado de la evaluación se publicará en el SECOP en el lapso establecido en el cronograma.</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jc w:val="both"/>
        <w:rPr/>
      </w:pPr>
      <w:bookmarkStart w:id="12" w:name="__RefHeading___Toc482871747"/>
      <w:bookmarkEnd w:id="12"/>
      <w:r>
        <w:rPr>
          <w:sz w:val="24"/>
          <w:szCs w:val="24"/>
        </w:rPr>
        <w:t>I. Regla de subsanabilidad:</w:t>
      </w:r>
    </w:p>
    <w:p>
      <w:pPr>
        <w:pStyle w:val="Normal"/>
        <w:jc w:val="both"/>
        <w:rPr/>
      </w:pPr>
      <w:r>
        <w:rPr>
          <w:rFonts w:cs="Arial Narrow" w:ascii="Arial Narrow" w:hAnsi="Arial Narrow"/>
          <w:color w:val="000000"/>
        </w:rPr>
        <w:t>En el informe de verificación de requisitos habilitantes se señalarán los proponentes que no se consideran habilitados y a los cuales se les concederá un plazo para que subsanen la ausencia de requisitos o la falta de documentos habilitantes, so pena de rechazo definitivo de las propuestas.</w:t>
      </w:r>
    </w:p>
    <w:p>
      <w:pPr>
        <w:pStyle w:val="Normal"/>
        <w:jc w:val="both"/>
        <w:rPr/>
      </w:pPr>
      <w:r>
        <w:rPr>
          <w:rFonts w:cs="Arial Narrow" w:ascii="Arial Narrow" w:hAnsi="Arial Narrow"/>
          <w:color w:val="000000"/>
        </w:rPr>
        <w:t>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en el pliego de condiciones, de conformidad con lo previsto en el artículo 5 de la Ley 1150 de 2007.</w:t>
      </w:r>
    </w:p>
    <w:p>
      <w:pPr>
        <w:pStyle w:val="Normal"/>
        <w:jc w:val="both"/>
        <w:rPr/>
      </w:pPr>
      <w:r>
        <w:rPr>
          <w:rFonts w:cs="Arial Narrow" w:ascii="Arial Narrow" w:hAnsi="Arial Narrow"/>
          <w:color w:val="000000"/>
        </w:rPr>
        <w:t>El INVISBU señala como plazo para subsanar la ausencia de requisitos o la falta de documentos habilitantes, el señalado en el cronograma del proceso.</w:t>
      </w:r>
    </w:p>
    <w:p>
      <w:pPr>
        <w:pStyle w:val="Normal"/>
        <w:jc w:val="both"/>
        <w:rPr>
          <w:rFonts w:ascii="Arial Narrow" w:hAnsi="Arial Narrow" w:cs="Arial Narrow"/>
          <w:color w:val="000000"/>
        </w:rPr>
      </w:pPr>
      <w:r>
        <w:rPr>
          <w:rFonts w:cs="Arial Narrow" w:ascii="Arial Narrow" w:hAnsi="Arial Narrow"/>
          <w:color w:val="000000"/>
        </w:rPr>
        <w:t>En ningún caso se podrá señalar taxativamente los requisitos o documentos subsanables o no subsanables en el pliego de condiciones.</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En ejercicio de esta facultad, y de conformidad con el numeral 8 del artículo 30 de la Ley 80 de 1993, el proponente no podrá completar, adicionar, modificar o mejorar su propuesta, ni acreditar circunstancias ocurridas con posterioridad al cierre del proceso.</w:t>
      </w:r>
    </w:p>
    <w:p>
      <w:pPr>
        <w:pStyle w:val="Normal"/>
        <w:jc w:val="both"/>
        <w:rPr>
          <w:rFonts w:ascii="Arial Narrow" w:hAnsi="Arial Narrow" w:cs="Arial Narrow"/>
          <w:b/>
          <w:color w:val="000000"/>
        </w:rPr>
      </w:pPr>
      <w:r>
        <w:rPr>
          <w:rFonts w:cs="Arial Narrow" w:ascii="Arial Narrow" w:hAnsi="Arial Narrow"/>
          <w:b/>
          <w:color w:val="000000"/>
        </w:rPr>
      </w:r>
    </w:p>
    <w:p>
      <w:pPr>
        <w:pStyle w:val="Heading1"/>
        <w:numPr>
          <w:ilvl w:val="0"/>
          <w:numId w:val="1"/>
        </w:numPr>
        <w:ind w:hanging="0" w:left="0"/>
        <w:rPr/>
      </w:pPr>
      <w:bookmarkStart w:id="13" w:name="__RefHeading___Toc482871748"/>
      <w:bookmarkEnd w:id="13"/>
      <w:r>
        <w:rPr>
          <w:sz w:val="24"/>
          <w:szCs w:val="24"/>
        </w:rPr>
        <w:t>K. Orden de Elegibilidad y Adjudicación</w:t>
      </w:r>
    </w:p>
    <w:p>
      <w:pPr>
        <w:pStyle w:val="Normal"/>
        <w:jc w:val="both"/>
        <w:rPr>
          <w:rFonts w:ascii="Arial Narrow" w:hAnsi="Arial Narrow" w:cs="Arial Narrow"/>
          <w:color w:val="000000"/>
        </w:rPr>
      </w:pPr>
      <w:r>
        <w:rPr>
          <w:rFonts w:cs="Arial Narrow" w:ascii="Arial Narrow" w:hAnsi="Arial Narrow"/>
          <w:color w:val="000000"/>
        </w:rPr>
        <w:t xml:space="preserve">EL INVISBU adjudicará el contrato al proponente, mediante acto administrativo motivado que se publicará en el SECOP, que previo análisis comparativo de las propuestas, fundado en los aspectos jurídicos, técnicos y financieros, derivados de este proceso, haya presentado la oferta económica y de calidad más favorable para la entidad. Esta se efectuará dentro del término establecido en el cronograma. La adjudicación se hará mediante resolución motivada, proferida por EL Director, contra la cual no procede recurso alguno, y será notificada personalmente al proponente favorecido. El adjudicatario dispondrá de los términos establecidos en el cronograma para notificarse personalmente de la Resolución de Adjudicación. El proceso de selección podrá ser suspendido por el término que se señale en el acto motivado que así lo determine, cuando a juicio del jefe de la entidad se presenten circunstancias de interés público o general que requieran analizarse y que puedan afectar la normal culminación del proceso. </w:t>
      </w:r>
    </w:p>
    <w:p>
      <w:pPr>
        <w:pStyle w:val="Normal"/>
        <w:jc w:val="both"/>
        <w:rPr/>
      </w:pPr>
      <w:r>
        <w:rPr>
          <w:rFonts w:cs="Arial Narrow" w:ascii="Arial Narrow" w:hAnsi="Arial Narrow"/>
          <w:color w:val="000000"/>
        </w:rPr>
        <w:t>La Adjudicación del contrato será publicada en la página del SECOP, según el cronograma previsto.</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pPr>
      <w:bookmarkStart w:id="14" w:name="__RefHeading___Toc482871749"/>
      <w:bookmarkEnd w:id="14"/>
      <w:r>
        <w:rPr>
          <w:sz w:val="24"/>
          <w:szCs w:val="24"/>
        </w:rPr>
        <w:t>L. Criterios de Selección</w:t>
      </w:r>
    </w:p>
    <w:p>
      <w:pPr>
        <w:pStyle w:val="Normal"/>
        <w:jc w:val="both"/>
        <w:rPr/>
      </w:pPr>
      <w:r>
        <w:rPr>
          <w:rFonts w:cs="Arial Narrow" w:ascii="Arial Narrow" w:hAnsi="Arial Narrow"/>
          <w:color w:val="000000"/>
        </w:rPr>
        <w:t>Teniendo en cuenta el artículo 5 de la Ley 1150 de 2007, denominado “De la selección objetiva”, con la modificación introducida por el artículo 88 de la ley 1474 de 2011, y la reglamentación que obra en el artículo 2.2.1.1.2.2.2 Ofrecimiento más favorable, del Decreto 1082 de 2015, se puede precisar:</w:t>
      </w:r>
    </w:p>
    <w:p>
      <w:pPr>
        <w:pStyle w:val="Normal"/>
        <w:jc w:val="both"/>
        <w:rPr>
          <w:rFonts w:ascii="Arial Narrow" w:hAnsi="Arial Narrow" w:cs="Arial Narrow"/>
          <w:color w:val="000000"/>
        </w:rPr>
      </w:pPr>
      <w:r>
        <w:rPr>
          <w:rFonts w:cs="Arial Narrow" w:ascii="Arial Narrow" w:hAnsi="Arial Narrow"/>
          <w:color w:val="000000"/>
        </w:rPr>
      </w:r>
    </w:p>
    <w:p>
      <w:pPr>
        <w:pStyle w:val="Normal"/>
        <w:numPr>
          <w:ilvl w:val="0"/>
          <w:numId w:val="11"/>
        </w:numPr>
        <w:jc w:val="both"/>
        <w:rPr>
          <w:rFonts w:ascii="Arial Narrow" w:hAnsi="Arial Narrow" w:cs="Arial Narrow"/>
          <w:color w:val="000000"/>
        </w:rPr>
      </w:pPr>
      <w:r>
        <w:rPr>
          <w:rFonts w:cs="Arial Narrow" w:ascii="Arial Narrow" w:hAnsi="Arial Narrow"/>
          <w:color w:val="000000"/>
        </w:rPr>
        <w:t>Es objetiva la selección en la cual la escogencia del contratista se haga al ofrecimiento más favorable a la entidad y a los fines que ella busca, sin tener en consideración factores de afecto o de interés y, en general, cualquier clase de motivación subjetiva.</w:t>
      </w:r>
    </w:p>
    <w:p>
      <w:pPr>
        <w:pStyle w:val="Normal"/>
        <w:numPr>
          <w:ilvl w:val="0"/>
          <w:numId w:val="11"/>
        </w:numPr>
        <w:jc w:val="both"/>
        <w:rPr>
          <w:rFonts w:ascii="Arial Narrow" w:hAnsi="Arial Narrow" w:cs="Arial Narrow"/>
          <w:color w:val="000000"/>
        </w:rPr>
      </w:pPr>
      <w:r>
        <w:rPr>
          <w:rFonts w:cs="Arial Narrow" w:ascii="Arial Narrow" w:hAnsi="Arial Narrow"/>
          <w:color w:val="000000"/>
        </w:rPr>
        <w:t>La capacidad jurídica y las condiciones de experiencia, capacidad financiera y de organización de los proponentes, serán objeto de verificación de cumplimiento como requisitos habilitantes para la participación en el proceso de selección y no otorgarán puntaje.</w:t>
      </w:r>
    </w:p>
    <w:p>
      <w:pPr>
        <w:pStyle w:val="Normal"/>
        <w:numPr>
          <w:ilvl w:val="0"/>
          <w:numId w:val="11"/>
        </w:numPr>
        <w:jc w:val="both"/>
        <w:rPr>
          <w:rFonts w:ascii="Arial Narrow" w:hAnsi="Arial Narrow" w:cs="Arial Narrow"/>
          <w:color w:val="000000"/>
        </w:rPr>
      </w:pPr>
      <w:r>
        <w:rPr>
          <w:rFonts w:cs="Arial Narrow" w:ascii="Arial Narrow" w:hAnsi="Arial Narrow"/>
          <w:color w:val="000000"/>
        </w:rPr>
        <w:t>El menor plazo ofrecido no será objeto de evaluación.</w:t>
      </w:r>
    </w:p>
    <w:p>
      <w:pPr>
        <w:pStyle w:val="Normal"/>
        <w:numPr>
          <w:ilvl w:val="0"/>
          <w:numId w:val="11"/>
        </w:numPr>
        <w:jc w:val="both"/>
        <w:rPr>
          <w:rFonts w:ascii="Arial Narrow" w:hAnsi="Arial Narrow" w:cs="Arial Narrow"/>
          <w:color w:val="000000"/>
        </w:rPr>
      </w:pPr>
      <w:r>
        <w:rPr>
          <w:rFonts w:cs="Arial Narrow" w:ascii="Arial Narrow" w:hAnsi="Arial Narrow"/>
          <w:color w:val="000000"/>
        </w:rPr>
        <w:t>La oferta más favorable será aquella que, teniendo en cuenta los factores técnicos de escogencia y la ponderación precisa y detallada de los mismos contenida en los pliegos de condiciones resulte ser la más ventajosa para la entidad, sin que la favorabilidad la constituyan factores diferentes a los contenidos en dichos documentos.</w:t>
      </w:r>
    </w:p>
    <w:p>
      <w:pPr>
        <w:pStyle w:val="Normal"/>
        <w:numPr>
          <w:ilvl w:val="0"/>
          <w:numId w:val="11"/>
        </w:numPr>
        <w:jc w:val="both"/>
        <w:rPr>
          <w:rFonts w:ascii="Arial Narrow" w:hAnsi="Arial Narrow" w:cs="Arial Narrow"/>
          <w:color w:val="000000"/>
        </w:rPr>
      </w:pPr>
      <w:r>
        <w:rPr>
          <w:rFonts w:cs="Arial Narrow" w:ascii="Arial Narrow" w:hAnsi="Arial Narrow"/>
          <w:color w:val="000000"/>
        </w:rPr>
        <w:t>Así las cosas, la oferta más ventajosa será la que resulte de aplicar el siguiente criterio: La ponderación de los elementos de calidad soportados en puntajes o formulas señaladas en el pliego de condiciones.</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spacing w:lineRule="auto" w:line="240"/>
        <w:ind w:hanging="0" w:left="0"/>
        <w:jc w:val="both"/>
        <w:rPr>
          <w:sz w:val="24"/>
          <w:szCs w:val="24"/>
        </w:rPr>
      </w:pPr>
      <w:bookmarkStart w:id="15" w:name="__RefHeading___Toc482871750"/>
      <w:bookmarkEnd w:id="15"/>
      <w:r>
        <w:rPr>
          <w:sz w:val="24"/>
          <w:szCs w:val="24"/>
          <w:lang w:val="es-ES"/>
        </w:rPr>
        <w:t xml:space="preserve">V. </w:t>
      </w:r>
      <w:r>
        <w:rPr>
          <w:sz w:val="24"/>
          <w:szCs w:val="24"/>
        </w:rPr>
        <w:t>DESCRIPCIÓN</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w:bCs/>
          <w:color w:val="000000"/>
          <w:lang w:val="es-ES"/>
        </w:rPr>
      </w:pPr>
      <w:r>
        <w:rPr>
          <w:rFonts w:cs="Arial" w:ascii="Arial Narrow" w:hAnsi="Arial Narrow"/>
          <w:b/>
          <w:bCs/>
          <w:color w:val="000000"/>
          <w:lang w:val="es-ES"/>
        </w:rPr>
        <w:t xml:space="preserve">OBJETO: </w:t>
      </w:r>
      <w:r>
        <w:rPr>
          <w:rFonts w:cs="Arial" w:ascii="Arial Narrow" w:hAnsi="Arial Narrow"/>
          <w:bCs/>
          <w:color w:val="000000"/>
          <w:lang w:val="es-ES"/>
        </w:rPr>
        <w:t>XXXXXXXXXXXXXX</w:t>
      </w:r>
    </w:p>
    <w:p>
      <w:pPr>
        <w:pStyle w:val="Normal"/>
        <w:rPr>
          <w:rFonts w:ascii="Arial Narrow" w:hAnsi="Arial Narrow" w:cs="Arial"/>
          <w:bCs/>
          <w:color w:val="000000"/>
          <w:lang w:val="es-ES" w:eastAsia="es-CO"/>
        </w:rPr>
      </w:pPr>
      <w:r>
        <w:rPr>
          <w:rFonts w:cs="Arial" w:ascii="Arial Narrow" w:hAnsi="Arial Narrow"/>
          <w:bCs/>
          <w:color w:val="000000"/>
          <w:lang w:val="es-ES" w:eastAsia="es-CO"/>
        </w:rPr>
      </w:r>
    </w:p>
    <w:p>
      <w:pPr>
        <w:pStyle w:val="Heading1"/>
        <w:numPr>
          <w:ilvl w:val="0"/>
          <w:numId w:val="1"/>
        </w:numPr>
        <w:ind w:hanging="0" w:left="0"/>
        <w:rPr>
          <w:sz w:val="24"/>
          <w:szCs w:val="24"/>
          <w:lang w:val="es-CO"/>
        </w:rPr>
      </w:pPr>
      <w:bookmarkStart w:id="16" w:name="__RefHeading___Toc482871751"/>
      <w:bookmarkEnd w:id="16"/>
      <w:r>
        <w:rPr>
          <w:sz w:val="24"/>
          <w:szCs w:val="24"/>
        </w:rPr>
        <w:t>ASPECTOS GENERALES</w:t>
      </w:r>
    </w:p>
    <w:p>
      <w:pPr>
        <w:pStyle w:val="Normal"/>
        <w:jc w:val="both"/>
        <w:rPr>
          <w:rFonts w:ascii="Arial Narrow" w:hAnsi="Arial Narrow" w:cs="Arial Narrow"/>
          <w:color w:val="000000"/>
        </w:rPr>
      </w:pPr>
      <w:r>
        <w:rPr>
          <w:rFonts w:cs="Arial Narrow" w:ascii="Arial Narrow" w:hAnsi="Arial Narrow"/>
          <w:color w:val="000000"/>
        </w:rPr>
        <w:t>El CONSULTOR, deberá obtener una aprobación escrita de INVISBU, para realizar cualquier trabajo adicional o diferente a lo indicado en el presente pliego de condiciones.</w:t>
      </w:r>
    </w:p>
    <w:p>
      <w:pPr>
        <w:pStyle w:val="Normal"/>
        <w:jc w:val="both"/>
        <w:rPr>
          <w:rFonts w:ascii="Arial Narrow" w:hAnsi="Arial Narrow" w:cs="Arial Narrow"/>
          <w:color w:val="000000"/>
        </w:rPr>
      </w:pPr>
      <w:r>
        <w:rPr>
          <w:rFonts w:cs="Arial Narrow" w:ascii="Arial Narrow" w:hAnsi="Arial Narrow"/>
          <w:color w:val="000000"/>
        </w:rPr>
        <w:t xml:space="preserve">De igual forma, el contratista deberá obtener la aceptación escrita de INVISBU para validar cualquier excepción o desviación a su propuesta.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color w:val="000000"/>
        </w:rPr>
        <w:t>El CONSULTOR deberá presentar los documentos en concordancia con los requerimientos especificados en este documento y en la orden de trabajo.</w:t>
      </w:r>
    </w:p>
    <w:p>
      <w:pPr>
        <w:pStyle w:val="Normal"/>
        <w:jc w:val="both"/>
        <w:rPr>
          <w:rFonts w:ascii="Arial Narrow" w:hAnsi="Arial Narrow" w:cs="Arial Narrow"/>
          <w:color w:val="000000"/>
        </w:rPr>
      </w:pPr>
      <w:r>
        <w:rPr>
          <w:rFonts w:cs="Arial Narrow" w:ascii="Arial Narrow" w:hAnsi="Arial Narrow"/>
          <w:color w:val="000000"/>
        </w:rPr>
      </w:r>
    </w:p>
    <w:p>
      <w:pPr>
        <w:pStyle w:val="Heading2"/>
        <w:numPr>
          <w:ilvl w:val="0"/>
          <w:numId w:val="5"/>
        </w:numPr>
        <w:spacing w:lineRule="auto" w:line="240"/>
        <w:rPr>
          <w:sz w:val="24"/>
          <w:szCs w:val="24"/>
        </w:rPr>
      </w:pPr>
      <w:r>
        <w:rPr>
          <w:sz w:val="24"/>
          <w:szCs w:val="24"/>
        </w:rPr>
        <w:t>Clasificación UNSPSC</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spacing w:lineRule="auto" w:line="276"/>
        <w:jc w:val="both"/>
        <w:rPr/>
      </w:pPr>
      <w:r>
        <w:rPr>
          <w:rFonts w:cs="Arial Narrow" w:ascii="Arial Narrow" w:hAnsi="Arial Narrow"/>
          <w:color w:val="000000"/>
          <w:lang w:val="es-ES"/>
        </w:rPr>
        <w:t xml:space="preserve">El </w:t>
      </w:r>
      <w:r>
        <w:rPr>
          <w:rFonts w:cs="Arial Narrow" w:ascii="Arial Narrow" w:hAnsi="Arial Narrow"/>
          <w:color w:val="000000"/>
        </w:rPr>
        <w:t xml:space="preserve">objeto del presente Proceso de Contratación está codificada en el Clasificador de Bienes y Servicios de Naciones Unidas (UNSPSC) con el tercer nivel, como se indica en la Tabla 1: </w:t>
      </w:r>
    </w:p>
    <w:p>
      <w:pPr>
        <w:pStyle w:val="Normal"/>
        <w:spacing w:lineRule="auto" w:line="276"/>
        <w:jc w:val="center"/>
        <w:rPr>
          <w:rFonts w:ascii="Arial Narrow" w:hAnsi="Arial Narrow" w:cs="Arial"/>
          <w:b/>
          <w:bCs/>
          <w:color w:val="000000"/>
          <w:lang w:val="es-ES"/>
        </w:rPr>
      </w:pPr>
      <w:r>
        <w:rPr>
          <w:rFonts w:cs="Arial" w:ascii="Arial Narrow" w:hAnsi="Arial Narrow"/>
          <w:b/>
          <w:bCs/>
          <w:color w:val="000000"/>
          <w:lang w:val="es-ES"/>
        </w:rPr>
      </w:r>
    </w:p>
    <w:p>
      <w:pPr>
        <w:pStyle w:val="Normal"/>
        <w:spacing w:lineRule="auto" w:line="276"/>
        <w:jc w:val="center"/>
        <w:rPr>
          <w:rFonts w:ascii="Arial Narrow" w:hAnsi="Arial Narrow" w:cs="Arial"/>
          <w:bCs/>
          <w:color w:val="000000"/>
          <w:lang w:val="es-ES"/>
        </w:rPr>
      </w:pPr>
      <w:r>
        <w:rPr>
          <w:rFonts w:cs="Arial" w:ascii="Arial Narrow" w:hAnsi="Arial Narrow"/>
          <w:b/>
          <w:bCs/>
          <w:color w:val="000000"/>
          <w:lang w:val="es-ES"/>
        </w:rPr>
        <w:t>Tabla - Codificación en el sistema UNSPSC</w:t>
      </w:r>
    </w:p>
    <w:p>
      <w:pPr>
        <w:pStyle w:val="Normal"/>
        <w:spacing w:lineRule="auto" w:line="276"/>
        <w:jc w:val="both"/>
        <w:rPr>
          <w:rFonts w:ascii="Arial Narrow" w:hAnsi="Arial Narrow" w:eastAsia="Calibri" w:cs="Arial"/>
          <w:bCs/>
          <w:color w:val="000000"/>
          <w:lang w:val="es-ES" w:eastAsia="es-CO"/>
        </w:rPr>
      </w:pPr>
      <w:r>
        <w:rPr>
          <w:rFonts w:eastAsia="Calibri" w:cs="Arial" w:ascii="Arial Narrow" w:hAnsi="Arial Narrow"/>
          <w:bCs/>
          <w:color w:val="000000"/>
          <w:lang w:val="es-ES" w:eastAsia="es-CO"/>
        </w:rPr>
      </w:r>
    </w:p>
    <w:tbl>
      <w:tblPr>
        <w:tblW w:w="5350" w:type="dxa"/>
        <w:jc w:val="center"/>
        <w:tblInd w:w="0" w:type="dxa"/>
        <w:tblLayout w:type="fixed"/>
        <w:tblCellMar>
          <w:top w:w="0" w:type="dxa"/>
          <w:left w:w="108" w:type="dxa"/>
          <w:bottom w:w="0" w:type="dxa"/>
          <w:right w:w="108" w:type="dxa"/>
        </w:tblCellMar>
      </w:tblPr>
      <w:tblGrid>
        <w:gridCol w:w="2675"/>
        <w:gridCol w:w="2674"/>
      </w:tblGrid>
      <w:tr>
        <w:trPr>
          <w:trHeight w:val="463" w:hRule="atLeast"/>
        </w:trPr>
        <w:tc>
          <w:tcPr>
            <w:tcW w:w="26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Arial Narrow" w:hAnsi="Arial Narrow" w:eastAsia="Calibri" w:cs="Arial"/>
                <w:b/>
                <w:color w:val="000000"/>
                <w:lang w:eastAsia="es-CO"/>
              </w:rPr>
            </w:pPr>
            <w:r>
              <w:rPr>
                <w:rFonts w:eastAsia="Calibri" w:cs="Arial" w:ascii="Arial Narrow" w:hAnsi="Arial Narrow"/>
                <w:b/>
                <w:color w:val="000000"/>
                <w:lang w:eastAsia="es-CO"/>
              </w:rPr>
              <w:t>CÓDIGO ACTIVIDAD</w:t>
            </w:r>
          </w:p>
        </w:tc>
        <w:tc>
          <w:tcPr>
            <w:tcW w:w="26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ascii="Arial Narrow" w:hAnsi="Arial Narrow" w:eastAsia="Calibri" w:cs="Arial"/>
                <w:b/>
                <w:color w:val="000000"/>
                <w:lang w:eastAsia="es-CO"/>
              </w:rPr>
            </w:pPr>
            <w:r>
              <w:rPr>
                <w:rFonts w:eastAsia="Calibri" w:cs="Arial" w:ascii="Arial Narrow" w:hAnsi="Arial Narrow"/>
                <w:b/>
                <w:color w:val="000000"/>
                <w:lang w:eastAsia="es-CO"/>
              </w:rPr>
              <w:t>DESCRIPCIÓN</w:t>
            </w:r>
          </w:p>
        </w:tc>
      </w:tr>
      <w:tr>
        <w:trPr>
          <w:trHeight w:val="463" w:hRule="atLeast"/>
        </w:trPr>
        <w:tc>
          <w:tcPr>
            <w:tcW w:w="267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jc w:val="center"/>
              <w:rPr>
                <w:rFonts w:ascii="Arial Narrow" w:hAnsi="Arial Narrow" w:eastAsia="Calibri" w:cs="Arial"/>
                <w:b/>
                <w:color w:val="000000"/>
                <w:lang w:eastAsia="es-CO"/>
              </w:rPr>
            </w:pPr>
            <w:r>
              <w:rPr>
                <w:rFonts w:eastAsia="Calibri" w:cs="Arial" w:ascii="Arial Narrow" w:hAnsi="Arial Narrow"/>
                <w:b/>
                <w:color w:val="000000"/>
                <w:lang w:eastAsia="es-CO"/>
              </w:rPr>
            </w:r>
          </w:p>
        </w:tc>
        <w:tc>
          <w:tcPr>
            <w:tcW w:w="267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jc w:val="center"/>
              <w:rPr>
                <w:rFonts w:ascii="Arial Narrow" w:hAnsi="Arial Narrow" w:eastAsia="Calibri" w:cs="Arial"/>
                <w:b/>
                <w:color w:val="000000"/>
                <w:lang w:eastAsia="es-CO"/>
              </w:rPr>
            </w:pPr>
            <w:r>
              <w:rPr>
                <w:rFonts w:eastAsia="Calibri" w:cs="Arial" w:ascii="Arial Narrow" w:hAnsi="Arial Narrow"/>
                <w:b/>
                <w:color w:val="000000"/>
                <w:lang w:eastAsia="es-CO"/>
              </w:rPr>
            </w:r>
          </w:p>
        </w:tc>
      </w:tr>
    </w:tbl>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0"/>
          <w:numId w:val="5"/>
        </w:numPr>
        <w:spacing w:lineRule="auto" w:line="240"/>
        <w:rPr>
          <w:sz w:val="24"/>
          <w:szCs w:val="24"/>
          <w:lang w:val="es-CO"/>
        </w:rPr>
      </w:pPr>
      <w:r>
        <w:rPr>
          <w:sz w:val="24"/>
          <w:szCs w:val="24"/>
        </w:rPr>
        <w:t>Valor estimado del Contrato</w:t>
      </w:r>
    </w:p>
    <w:p>
      <w:pPr>
        <w:pStyle w:val="Normal"/>
        <w:ind w:left="720" w:right="0"/>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w:bCs/>
          <w:color w:val="000000"/>
          <w:lang w:val="es-ES"/>
        </w:rPr>
      </w:pPr>
      <w:r>
        <w:rPr>
          <w:rFonts w:cs="Arial" w:ascii="Arial Narrow" w:hAnsi="Arial Narrow"/>
          <w:bCs/>
          <w:color w:val="000000"/>
          <w:lang w:val="es-ES"/>
        </w:rPr>
        <w:t>Para la estimación del presupuesto oficial de los servicios de consultoría que constituyen el objeto del presente concurso de méritos, se tuvo en cuenta el promedio de precios del mercado.</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El presupuesto oficial definido para la consultoría objeto de este concurso de méritos, es hasta por el valor de </w:t>
      </w:r>
      <w:r>
        <w:rPr>
          <w:rFonts w:cs="Arial" w:ascii="Arial Narrow" w:hAnsi="Arial Narrow"/>
          <w:b/>
          <w:bCs/>
          <w:color w:val="000000"/>
          <w:lang w:val="es-ES"/>
        </w:rPr>
        <w:t>XXXXXXXXXXXXX,</w:t>
      </w:r>
      <w:r>
        <w:rPr>
          <w:rFonts w:cs="Arial" w:ascii="Arial Narrow" w:hAnsi="Arial Narrow"/>
          <w:bCs/>
          <w:color w:val="000000"/>
          <w:lang w:val="es-ES"/>
        </w:rPr>
        <w:t xml:space="preserve"> incluido IVA. Suma que se encuentra debidamente respaldada por el Certificado de Disponibilidad Presupuestal No. XXXXXXXXX de fecha XXXXXXXXX,  expedido por la Subdirección Administrativa y Financiera del INVISBU.,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C. Forma de pago</w:t>
      </w:r>
    </w:p>
    <w:p>
      <w:pPr>
        <w:pStyle w:val="Normal"/>
        <w:spacing w:lineRule="auto" w:line="276"/>
        <w:jc w:val="both"/>
        <w:rPr>
          <w:rFonts w:ascii="Arial Narrow" w:hAnsi="Arial Narrow" w:cs="Arial"/>
          <w:bCs/>
          <w:color w:val="000000"/>
          <w:sz w:val="24"/>
          <w:szCs w:val="24"/>
          <w:lang w:val="es-ES"/>
        </w:rPr>
      </w:pPr>
      <w:r>
        <w:rPr>
          <w:rFonts w:cs="Arial" w:ascii="Arial Narrow" w:hAnsi="Arial Narrow"/>
          <w:bCs/>
          <w:color w:val="000000"/>
          <w:sz w:val="24"/>
          <w:szCs w:val="24"/>
          <w:lang w:val="es-ES"/>
        </w:rPr>
      </w:r>
    </w:p>
    <w:p>
      <w:pPr>
        <w:pStyle w:val="Heading1"/>
        <w:numPr>
          <w:ilvl w:val="0"/>
          <w:numId w:val="1"/>
        </w:numPr>
        <w:ind w:hanging="0" w:left="0"/>
        <w:rPr>
          <w:sz w:val="24"/>
          <w:szCs w:val="24"/>
        </w:rPr>
      </w:pPr>
      <w:bookmarkStart w:id="17" w:name="__RefHeading___Toc482871752"/>
      <w:bookmarkEnd w:id="17"/>
      <w:r>
        <w:rPr>
          <w:sz w:val="24"/>
          <w:szCs w:val="24"/>
        </w:rPr>
        <w:t>D. Plazo de ejecución del Contrato</w:t>
      </w:r>
    </w:p>
    <w:p>
      <w:pPr>
        <w:pStyle w:val="Normal"/>
        <w:jc w:val="both"/>
        <w:rPr>
          <w:rFonts w:ascii="Arial Narrow" w:hAnsi="Arial Narrow" w:cs="Arial"/>
          <w:bCs/>
          <w:color w:val="000000"/>
          <w:lang w:val="es-ES"/>
        </w:rPr>
      </w:pPr>
      <w:r>
        <w:rPr>
          <w:rFonts w:cs="Arial" w:ascii="Arial Narrow" w:hAnsi="Arial Narrow"/>
          <w:bCs/>
          <w:color w:val="000000"/>
          <w:lang w:val="es-ES"/>
        </w:rPr>
        <w:t>El plazo de ejecución estimado para la presente contratación es de XXXXXXXXXXXXX, contados a partir de la suscripción del Acta de Inicio, previo el cumplimiento de los requisitos de ejecución del contrato, Siempre que cualquiera de los plazos en días calendario indicados tenga vencimiento en día inhábil, se entenderá que dicho plazo vence el día hábil inmediatamente siguiente.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1"/>
        <w:numPr>
          <w:ilvl w:val="0"/>
          <w:numId w:val="1"/>
        </w:numPr>
        <w:ind w:hanging="0" w:left="0"/>
        <w:rPr>
          <w:sz w:val="24"/>
          <w:szCs w:val="24"/>
        </w:rPr>
      </w:pPr>
      <w:bookmarkStart w:id="18" w:name="__RefHeading___Toc482871753"/>
      <w:bookmarkEnd w:id="18"/>
      <w:r>
        <w:rPr>
          <w:sz w:val="24"/>
          <w:szCs w:val="24"/>
        </w:rPr>
        <w:t>E. Lugar de ejecución del Contrato</w:t>
      </w:r>
    </w:p>
    <w:p>
      <w:pPr>
        <w:pStyle w:val="Heading1"/>
        <w:numPr>
          <w:ilvl w:val="0"/>
          <w:numId w:val="1"/>
        </w:numPr>
        <w:ind w:hanging="0" w:left="0"/>
        <w:rPr>
          <w:sz w:val="24"/>
          <w:szCs w:val="24"/>
        </w:rPr>
      </w:pPr>
      <w:r>
        <w:rPr>
          <w:sz w:val="24"/>
          <w:szCs w:val="24"/>
        </w:rPr>
      </w:r>
    </w:p>
    <w:p>
      <w:pPr>
        <w:pStyle w:val="Heading1"/>
        <w:numPr>
          <w:ilvl w:val="0"/>
          <w:numId w:val="1"/>
        </w:numPr>
        <w:ind w:hanging="0" w:left="0"/>
        <w:rPr>
          <w:sz w:val="24"/>
          <w:szCs w:val="24"/>
        </w:rPr>
      </w:pPr>
      <w:bookmarkStart w:id="19" w:name="__RefHeading___Toc482871754"/>
      <w:bookmarkEnd w:id="19"/>
      <w:r>
        <w:rPr>
          <w:sz w:val="24"/>
          <w:szCs w:val="24"/>
        </w:rPr>
        <w:t>F. EVALUACIÓN DE LA OFERTA</w:t>
      </w:r>
    </w:p>
    <w:p>
      <w:pPr>
        <w:pStyle w:val="Normal"/>
        <w:jc w:val="both"/>
        <w:rPr>
          <w:rFonts w:ascii="Arial Narrow" w:hAnsi="Arial Narrow" w:cs="Arial"/>
          <w:b/>
          <w:bCs/>
          <w:color w:val="000000"/>
          <w:sz w:val="24"/>
          <w:szCs w:val="24"/>
        </w:rPr>
      </w:pPr>
      <w:r>
        <w:rPr>
          <w:rFonts w:cs="Arial" w:ascii="Arial Narrow" w:hAnsi="Arial Narrow"/>
          <w:b/>
          <w:bCs/>
          <w:color w:val="000000"/>
          <w:sz w:val="24"/>
          <w:szCs w:val="24"/>
        </w:rPr>
      </w:r>
    </w:p>
    <w:p>
      <w:pPr>
        <w:pStyle w:val="Normal"/>
        <w:jc w:val="both"/>
        <w:rPr/>
      </w:pPr>
      <w:r>
        <w:rPr>
          <w:rFonts w:cs="Arial" w:ascii="Arial Narrow" w:hAnsi="Arial Narrow"/>
          <w:bCs/>
          <w:color w:val="000000"/>
        </w:rPr>
        <w:t>El INVISBU, para la evaluación de las ofertas conformará un comité evaluador- asesor para el desarrollo del concurso de méritos que estará integrado por un número plural de servidores y/o contratistas designado por la Directora para tal fin.</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rFonts w:ascii="Arial Narrow" w:hAnsi="Arial Narrow" w:cs="Arial"/>
          <w:bCs/>
          <w:color w:val="000000"/>
        </w:rPr>
      </w:pPr>
      <w:r>
        <w:rPr>
          <w:rFonts w:cs="Arial" w:ascii="Arial Narrow" w:hAnsi="Arial Narrow"/>
          <w:bCs/>
          <w:color w:val="000000"/>
        </w:rPr>
        <w:t>El comité asesorará a la entidad en el proceso de selección, en la validación de los requerimientos técnicos, en la evaluación y calificación de las ofertas técnicas presentadas de conformidad con los criterios establecidos en los presentes pliegos de condiciones y en la verificación de la propuesta económica del proponente ubicado en primer lugar en el orden de calificación.</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pPr>
      <w:r>
        <w:rPr>
          <w:rFonts w:cs="Arial" w:ascii="Arial Narrow" w:hAnsi="Arial Narrow"/>
          <w:bCs/>
          <w:color w:val="000000"/>
        </w:rPr>
        <w:t>La Entidad podrá, de manera motivada, apartarse de las recomendaciones que, con ocasión del proceso de concurso de méritos, le realice el comité asesor.</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pPr>
      <w:r>
        <w:rPr>
          <w:rFonts w:cs="Arial" w:ascii="Arial Narrow" w:hAnsi="Arial Narrow"/>
          <w:bCs/>
          <w:color w:val="000000"/>
        </w:rPr>
        <w:t xml:space="preserve">Una vez  se surta la evaluación de la parte Técnica  y requisitos habilitantes, conforme  se  establece  en el presente pliego y en los  plazos  previstos  en el  Cronograma,  El INVISBU Procederá  con la  evaluación Económica de la  siguiente   manera: </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rFonts w:ascii="Arial Narrow" w:hAnsi="Arial Narrow" w:cs="Arial"/>
          <w:b/>
          <w:bCs/>
          <w:color w:val="000000"/>
        </w:rPr>
      </w:pPr>
      <w:r>
        <w:rPr>
          <w:rFonts w:cs="Arial" w:ascii="Arial Narrow" w:hAnsi="Arial Narrow"/>
          <w:b/>
          <w:bCs/>
          <w:color w:val="000000"/>
        </w:rPr>
        <w:t>PROPUESTA ECONÓMICA:</w:t>
      </w:r>
    </w:p>
    <w:p>
      <w:pPr>
        <w:pStyle w:val="Normal"/>
        <w:jc w:val="both"/>
        <w:rPr>
          <w:rFonts w:ascii="Arial Narrow" w:hAnsi="Arial Narrow" w:cs="Arial"/>
          <w:bCs/>
          <w:color w:val="000000"/>
        </w:rPr>
      </w:pPr>
      <w:r>
        <w:rPr>
          <w:rFonts w:cs="Arial" w:ascii="Arial Narrow" w:hAnsi="Arial Narrow"/>
          <w:bCs/>
          <w:color w:val="000000"/>
        </w:rPr>
        <w:t xml:space="preserve">La propuesta económica deberá incluir todos los conceptos asociados con las tareas a contratar que comprenden, entre otros: </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pPr>
      <w:r>
        <w:rPr>
          <w:rFonts w:cs="Arial" w:ascii="Arial Narrow" w:hAnsi="Arial Narrow"/>
          <w:bCs/>
          <w:color w:val="000000"/>
        </w:rPr>
        <w:t>•</w:t>
      </w:r>
      <w:r>
        <w:rPr>
          <w:rFonts w:eastAsia="Arial Narrow" w:cs="Arial Narrow" w:ascii="Arial Narrow" w:hAnsi="Arial Narrow"/>
          <w:bCs/>
          <w:color w:val="000000"/>
        </w:rPr>
        <w:t xml:space="preserve"> </w:t>
      </w:r>
      <w:r>
        <w:rPr>
          <w:rFonts w:cs="Arial" w:ascii="Arial Narrow" w:hAnsi="Arial Narrow"/>
          <w:bCs/>
          <w:color w:val="000000"/>
        </w:rPr>
        <w:t xml:space="preserve">La remuneración del personal consultor, incluirá, según el caso, sueldos, cargas por concepto de seguridad social, viáticos, etc. (Es importante determinar la forma de vinculación del personal del consultor, contrato laboral o contrato de prestación de servicios, con el fin de determinar las obligaciones con el sistema de seguridad social integral. En el evento en que el personal se vincule mediante prestación de servicios debe cotizar sobre el 40% del valor mensualizado del contrato, cumpliendo con las bases mínimas establecidas en la ley. Para efectos de comprobación al presentar documentos para el pago se debe adjuntar fotocopia de los contratos (laboral o de prestación de servicios) y de los documentos que acrediten el pago de salud, pensiones, riesgos profesionales, parafiscales, según el caso.) No se admite pago a través de cooperativas. </w:t>
      </w:r>
    </w:p>
    <w:p>
      <w:pPr>
        <w:pStyle w:val="Normal"/>
        <w:jc w:val="both"/>
        <w:rPr>
          <w:rFonts w:ascii="Arial Narrow" w:hAnsi="Arial Narrow"/>
          <w:bCs/>
          <w:color w:val="000000"/>
        </w:rPr>
      </w:pPr>
      <w:r>
        <w:rPr>
          <w:rFonts w:cs="Arial" w:ascii="Arial Narrow" w:hAnsi="Arial Narrow"/>
          <w:bCs/>
          <w:color w:val="000000"/>
        </w:rPr>
        <w:t>•</w:t>
      </w:r>
      <w:r>
        <w:rPr>
          <w:rFonts w:eastAsia="Arial Narrow" w:cs="Arial Narrow" w:ascii="Arial Narrow" w:hAnsi="Arial Narrow"/>
          <w:bCs/>
          <w:color w:val="000000"/>
        </w:rPr>
        <w:t xml:space="preserve"> </w:t>
      </w:r>
      <w:r>
        <w:rPr>
          <w:rFonts w:cs="Arial" w:ascii="Arial Narrow" w:hAnsi="Arial Narrow"/>
          <w:bCs/>
          <w:color w:val="000000"/>
        </w:rPr>
        <w:t xml:space="preserve">Gastos generados por la adquisición de herramientas o insumos necesarios para la realización de la labor. </w:t>
      </w:r>
    </w:p>
    <w:p>
      <w:pPr>
        <w:pStyle w:val="Normal"/>
        <w:jc w:val="both"/>
        <w:rPr>
          <w:rFonts w:ascii="Arial Narrow" w:hAnsi="Arial Narrow"/>
          <w:bCs/>
          <w:color w:val="000000"/>
        </w:rPr>
      </w:pPr>
      <w:r>
        <w:rPr>
          <w:rFonts w:cs="Arial" w:ascii="Arial Narrow" w:hAnsi="Arial Narrow"/>
          <w:bCs/>
          <w:color w:val="000000"/>
        </w:rPr>
        <w:t>•</w:t>
      </w:r>
      <w:r>
        <w:rPr>
          <w:rFonts w:eastAsia="Arial Narrow" w:cs="Arial Narrow" w:ascii="Arial Narrow" w:hAnsi="Arial Narrow"/>
          <w:bCs/>
          <w:color w:val="000000"/>
        </w:rPr>
        <w:t xml:space="preserve"> </w:t>
      </w:r>
      <w:r>
        <w:rPr>
          <w:rFonts w:cs="Arial" w:ascii="Arial Narrow" w:hAnsi="Arial Narrow"/>
          <w:bCs/>
          <w:color w:val="000000"/>
        </w:rPr>
        <w:t xml:space="preserve">Gastos de administración </w:t>
      </w:r>
    </w:p>
    <w:p>
      <w:pPr>
        <w:pStyle w:val="Normal"/>
        <w:jc w:val="both"/>
        <w:rPr>
          <w:rFonts w:ascii="Arial Narrow" w:hAnsi="Arial Narrow"/>
          <w:bCs/>
          <w:color w:val="000000"/>
        </w:rPr>
      </w:pPr>
      <w:r>
        <w:rPr>
          <w:rFonts w:cs="Arial" w:ascii="Arial Narrow" w:hAnsi="Arial Narrow"/>
          <w:bCs/>
          <w:color w:val="000000"/>
        </w:rPr>
        <w:t>•</w:t>
      </w:r>
      <w:r>
        <w:rPr>
          <w:rFonts w:eastAsia="Arial Narrow" w:cs="Arial Narrow" w:ascii="Arial Narrow" w:hAnsi="Arial Narrow"/>
          <w:bCs/>
          <w:color w:val="000000"/>
        </w:rPr>
        <w:t xml:space="preserve"> </w:t>
      </w:r>
      <w:r>
        <w:rPr>
          <w:rFonts w:cs="Arial" w:ascii="Arial Narrow" w:hAnsi="Arial Narrow"/>
          <w:bCs/>
          <w:color w:val="000000"/>
        </w:rPr>
        <w:t xml:space="preserve">Utilidades del consultor </w:t>
      </w:r>
    </w:p>
    <w:p>
      <w:pPr>
        <w:pStyle w:val="Normal"/>
        <w:jc w:val="both"/>
        <w:rPr>
          <w:rFonts w:ascii="Arial Narrow" w:hAnsi="Arial Narrow"/>
          <w:bCs/>
          <w:color w:val="000000"/>
        </w:rPr>
      </w:pPr>
      <w:r>
        <w:rPr>
          <w:rFonts w:cs="Arial" w:ascii="Arial Narrow" w:hAnsi="Arial Narrow"/>
          <w:bCs/>
          <w:color w:val="000000"/>
        </w:rPr>
        <w:t>•</w:t>
      </w:r>
      <w:r>
        <w:rPr>
          <w:rFonts w:eastAsia="Arial Narrow" w:cs="Arial Narrow" w:ascii="Arial Narrow" w:hAnsi="Arial Narrow"/>
          <w:bCs/>
          <w:color w:val="000000"/>
        </w:rPr>
        <w:t xml:space="preserve"> </w:t>
      </w:r>
      <w:r>
        <w:rPr>
          <w:rFonts w:cs="Arial" w:ascii="Arial Narrow" w:hAnsi="Arial Narrow"/>
          <w:bCs/>
          <w:color w:val="000000"/>
        </w:rPr>
        <w:t xml:space="preserve">Gastos contingentes </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rFonts w:ascii="Arial Narrow" w:hAnsi="Arial Narrow" w:cs="Arial"/>
          <w:bCs/>
          <w:color w:val="000000"/>
        </w:rPr>
      </w:pPr>
      <w:r>
        <w:rPr>
          <w:rFonts w:cs="Arial" w:ascii="Arial Narrow" w:hAnsi="Arial Narrow"/>
          <w:bCs/>
          <w:color w:val="000000"/>
        </w:rPr>
        <w:t>Los precios deberán ser desglosados por actividad y de ser necesario, por gastos en moneda nacional y extranjera. Las actividades y productos descritos en la propuesta técnica pero no costeadas en la propuesta económica, se consideran incluidas en los precios de las actividades o productos costeados.</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rFonts w:ascii="Arial Narrow" w:hAnsi="Arial Narrow" w:cs="Arial"/>
          <w:b/>
          <w:bCs/>
          <w:color w:val="000000"/>
        </w:rPr>
      </w:pPr>
      <w:r>
        <w:rPr>
          <w:rFonts w:cs="Arial" w:ascii="Arial Narrow" w:hAnsi="Arial Narrow"/>
          <w:b/>
          <w:bCs/>
          <w:color w:val="000000"/>
        </w:rPr>
        <w:t>APERTURA Y REVISIÓN DE LA PROPUESTA ECONÓMICA</w:t>
      </w:r>
    </w:p>
    <w:p>
      <w:pPr>
        <w:pStyle w:val="Normal"/>
        <w:jc w:val="both"/>
        <w:rPr>
          <w:rFonts w:ascii="Arial Narrow" w:hAnsi="Arial Narrow" w:cs="Arial"/>
          <w:b/>
          <w:bCs/>
          <w:color w:val="000000"/>
        </w:rPr>
      </w:pPr>
      <w:r>
        <w:rPr>
          <w:rFonts w:cs="Arial" w:ascii="Arial Narrow" w:hAnsi="Arial Narrow"/>
          <w:b/>
          <w:bCs/>
          <w:color w:val="000000"/>
        </w:rPr>
      </w:r>
    </w:p>
    <w:p>
      <w:pPr>
        <w:pStyle w:val="Normal"/>
        <w:jc w:val="both"/>
        <w:rPr/>
      </w:pPr>
      <w:r>
        <w:rPr>
          <w:rFonts w:cs="Arial" w:ascii="Arial Narrow" w:hAnsi="Arial Narrow"/>
          <w:bCs/>
          <w:color w:val="000000"/>
        </w:rPr>
        <w:t xml:space="preserve">La audiencia para la  apertura del  Sobre No. 2 (Propuesta Económica), se  hará en la fecha y hora  señalada  en el cronograma </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rFonts w:ascii="Arial Narrow" w:hAnsi="Arial Narrow" w:cs="Arial"/>
          <w:bCs/>
          <w:color w:val="000000"/>
        </w:rPr>
      </w:pPr>
      <w:r>
        <w:rPr>
          <w:rFonts w:cs="Arial" w:ascii="Arial Narrow" w:hAnsi="Arial Narrow"/>
          <w:bCs/>
          <w:color w:val="000000"/>
        </w:rPr>
        <w:t>1.  La Entidad Estatal debe revisar la oferta económica y verificar que está en el rango del valor estimado consignado en los documentos y estudios previos y del presupuesto asignado para el contrato.</w:t>
      </w:r>
    </w:p>
    <w:p>
      <w:pPr>
        <w:pStyle w:val="Normal"/>
        <w:jc w:val="both"/>
        <w:rPr>
          <w:rFonts w:ascii="Arial Narrow" w:hAnsi="Arial Narrow"/>
          <w:bCs/>
          <w:color w:val="000000"/>
        </w:rPr>
      </w:pPr>
      <w:r>
        <w:rPr>
          <w:rFonts w:eastAsia="Arial Narrow" w:cs="Arial Narrow" w:ascii="Arial Narrow" w:hAnsi="Arial Narrow"/>
          <w:bCs/>
          <w:color w:val="000000"/>
        </w:rPr>
        <w:t xml:space="preserve"> </w:t>
      </w:r>
      <w:r>
        <w:rPr>
          <w:rFonts w:cs="Arial" w:ascii="Arial Narrow" w:hAnsi="Arial Narrow"/>
          <w:bCs/>
          <w:color w:val="000000"/>
        </w:rPr>
        <w:t xml:space="preserve">2. La Entidad Estatal debe revisar con el oferente calificado en el primer lugar de elegibilidad la coherencia y consistencia entre: (i) la necesidad identificada por la Entidad Estatal y el alcance de la oferta; (ii) la consultoría ofrecida y el precio ofrecido; y (iíi) el precio ofrecido y la disponibilidad presupuestal del respectivo Proceso de Contratación. Si la Entidad Estatal y el oferente llegan a un acuerdo sobre el alcance y el valor del contrato, dejarán constancia del mismo y firmarán el contrato. </w:t>
      </w:r>
    </w:p>
    <w:p>
      <w:pPr>
        <w:pStyle w:val="Normal"/>
        <w:jc w:val="both"/>
        <w:rPr>
          <w:rFonts w:ascii="Arial Narrow" w:hAnsi="Arial Narrow" w:cs="Arial"/>
          <w:bCs/>
          <w:color w:val="000000"/>
        </w:rPr>
      </w:pPr>
      <w:r>
        <w:rPr>
          <w:rFonts w:cs="Arial" w:ascii="Arial Narrow" w:hAnsi="Arial Narrow"/>
          <w:bCs/>
          <w:color w:val="000000"/>
        </w:rPr>
        <w:t>3.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pPr>
        <w:pStyle w:val="Normal"/>
        <w:jc w:val="both"/>
        <w:rPr>
          <w:rFonts w:ascii="Arial Narrow" w:hAnsi="Arial Narrow" w:cs="Arial"/>
          <w:bCs/>
          <w:color w:val="000000"/>
        </w:rPr>
      </w:pPr>
      <w:r>
        <w:rPr>
          <w:rFonts w:cs="Arial" w:ascii="Arial Narrow" w:hAnsi="Arial Narrow"/>
          <w:bCs/>
          <w:color w:val="000000"/>
        </w:rPr>
        <w:t>4. Si la Entidad Estatal y el oferente calificado en el segundo lugar de elegibilidad no llegan a un acuerdo, la Entidad Estatal debe declarar desierto el Proceso de Contratación.</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pPr>
      <w:r>
        <w:rPr>
          <w:rFonts w:cs="Arial" w:ascii="Arial Narrow" w:hAnsi="Arial Narrow"/>
          <w:bCs/>
          <w:color w:val="000000"/>
        </w:rPr>
        <w:t xml:space="preserve">En lo concerniente a la Audiencia Pública se llevarán a cabo de conformidad con las siguientes reglas: </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pPr>
      <w:r>
        <w:rPr>
          <w:rFonts w:cs="Arial" w:ascii="Arial Narrow" w:hAnsi="Arial Narrow"/>
          <w:bCs/>
          <w:color w:val="000000"/>
        </w:rPr>
        <w:t>1. Se dará a conocer el orden de calificación de las propuestas técnicas.</w:t>
      </w:r>
    </w:p>
    <w:p>
      <w:pPr>
        <w:pStyle w:val="Normal"/>
        <w:jc w:val="both"/>
        <w:rPr>
          <w:rFonts w:ascii="Arial Narrow" w:hAnsi="Arial Narrow" w:cs="Arial"/>
          <w:bCs/>
          <w:color w:val="000000"/>
        </w:rPr>
      </w:pPr>
      <w:r>
        <w:rPr>
          <w:rFonts w:cs="Arial" w:ascii="Arial Narrow" w:hAnsi="Arial Narrow"/>
          <w:bCs/>
          <w:color w:val="000000"/>
        </w:rPr>
        <w:t>2. Se concederá la palabra por una única vez por el término de cinco (5) minutos, al representante legal del oferente o su apoderado (mediante poder autenticado o poder otorgado en audiencia verbalmente por el Rep. Legal) que así lo solicite, para que se manifesté sobre las respuestas dadas por la entidad a las objeciones formuladas en el término de traslado secretarial. (Si aplica).</w:t>
      </w:r>
    </w:p>
    <w:p>
      <w:pPr>
        <w:pStyle w:val="Normal"/>
        <w:jc w:val="both"/>
        <w:rPr>
          <w:rFonts w:ascii="Arial Narrow" w:hAnsi="Arial Narrow" w:cs="Arial"/>
          <w:bCs/>
          <w:color w:val="000000"/>
        </w:rPr>
      </w:pPr>
      <w:r>
        <w:rPr>
          <w:rFonts w:cs="Arial" w:ascii="Arial Narrow" w:hAnsi="Arial Narrow"/>
          <w:bCs/>
          <w:color w:val="000000"/>
        </w:rPr>
        <w:t>3. Se concederá la palabra por una única vez por el término de tres (3) minutos a la ciudadanía en general para que intervenga en tal calidad, en relación con las respuestas dadas por la entidad a las objeciones formuladas en el término de traslado secretarial.</w:t>
      </w:r>
    </w:p>
    <w:p>
      <w:pPr>
        <w:pStyle w:val="Normal"/>
        <w:jc w:val="both"/>
        <w:rPr>
          <w:rFonts w:ascii="Arial Narrow" w:hAnsi="Arial Narrow" w:cs="Arial"/>
          <w:bCs/>
          <w:color w:val="000000"/>
        </w:rPr>
      </w:pPr>
      <w:r>
        <w:rPr>
          <w:rFonts w:cs="Arial" w:ascii="Arial Narrow" w:hAnsi="Arial Narrow"/>
          <w:bCs/>
          <w:color w:val="000000"/>
        </w:rPr>
        <w:t>4. Respuesta a las intervenciones.</w:t>
      </w:r>
    </w:p>
    <w:p>
      <w:pPr>
        <w:pStyle w:val="Normal"/>
        <w:jc w:val="both"/>
        <w:rPr>
          <w:rFonts w:ascii="Arial Narrow" w:hAnsi="Arial Narrow" w:cs="Arial"/>
          <w:bCs/>
          <w:color w:val="000000"/>
        </w:rPr>
      </w:pPr>
      <w:r>
        <w:rPr>
          <w:rFonts w:cs="Arial" w:ascii="Arial Narrow" w:hAnsi="Arial Narrow"/>
          <w:bCs/>
          <w:color w:val="000000"/>
        </w:rPr>
        <w:t>5. Recepción de constancias por escrito.</w:t>
      </w:r>
    </w:p>
    <w:p>
      <w:pPr>
        <w:pStyle w:val="Normal"/>
        <w:jc w:val="both"/>
        <w:rPr>
          <w:rFonts w:ascii="Arial Narrow" w:hAnsi="Arial Narrow" w:cs="Arial"/>
          <w:bCs/>
          <w:color w:val="000000"/>
        </w:rPr>
      </w:pPr>
      <w:r>
        <w:rPr>
          <w:rFonts w:cs="Arial" w:ascii="Arial Narrow" w:hAnsi="Arial Narrow"/>
          <w:bCs/>
          <w:color w:val="000000"/>
        </w:rPr>
        <w:t xml:space="preserve">6. En presencia del proponente ubicado en el primer lugar en el orden de calificación, la entidad procederá a abrir el sobre que contiene la propuesta económica del proponente. </w:t>
      </w:r>
    </w:p>
    <w:p>
      <w:pPr>
        <w:pStyle w:val="Normal"/>
        <w:jc w:val="both"/>
        <w:rPr>
          <w:rFonts w:ascii="Arial Narrow" w:hAnsi="Arial Narrow" w:cs="Arial"/>
          <w:bCs/>
          <w:color w:val="000000"/>
        </w:rPr>
      </w:pPr>
      <w:r>
        <w:rPr>
          <w:rFonts w:cs="Arial" w:ascii="Arial Narrow" w:hAnsi="Arial Narrow"/>
          <w:bCs/>
          <w:color w:val="000000"/>
        </w:rPr>
        <w:t>7. Si el valor de la propuesta excede la disponibilidad presupuestal, la misma será rechazada y se procederá a abrir la propuesta económica del siguiente oferente según el orden de calificación, y así sucesivamente.</w:t>
      </w:r>
    </w:p>
    <w:p>
      <w:pPr>
        <w:pStyle w:val="Normal"/>
        <w:jc w:val="both"/>
        <w:rPr>
          <w:rFonts w:ascii="Arial Narrow" w:hAnsi="Arial Narrow" w:cs="Arial"/>
          <w:bCs/>
          <w:color w:val="000000"/>
        </w:rPr>
      </w:pPr>
      <w:r>
        <w:rPr>
          <w:rFonts w:cs="Arial" w:ascii="Arial Narrow" w:hAnsi="Arial Narrow"/>
          <w:bCs/>
          <w:color w:val="000000"/>
        </w:rPr>
        <w:t xml:space="preserve">8. La entidad verificará la consistencia de la propuesta económica respecto de las actividades descritas en la propuesta técnica, con el fin de efectuar las clarificaciones y ajustes que sean necesarios. Como resultado de estos ajustes no podrán modificarse los requerimientos técnicos mínimos. </w:t>
      </w:r>
    </w:p>
    <w:p>
      <w:pPr>
        <w:pStyle w:val="Normal"/>
        <w:jc w:val="both"/>
        <w:rPr>
          <w:rFonts w:ascii="Arial Narrow" w:hAnsi="Arial Narrow" w:cs="Arial"/>
          <w:bCs/>
          <w:color w:val="000000"/>
        </w:rPr>
      </w:pPr>
      <w:r>
        <w:rPr>
          <w:rFonts w:cs="Arial" w:ascii="Arial Narrow" w:hAnsi="Arial Narrow"/>
          <w:bCs/>
          <w:color w:val="000000"/>
        </w:rPr>
        <w:t xml:space="preserve">9. Si de la verificación de la propuesta económica del proponente se identifica que la misma no es consistente con su propuesta técnica, se dará por terminada la revisión, se rechazará y se procederá a abrir el sobre económico de la ubicada en el siguiente orden de elegibilidad, y se repetirá el procedimiento indicado en el numeral anterior. </w:t>
      </w:r>
    </w:p>
    <w:p>
      <w:pPr>
        <w:pStyle w:val="Normal"/>
        <w:jc w:val="both"/>
        <w:rPr>
          <w:rFonts w:ascii="Arial Narrow" w:hAnsi="Arial Narrow" w:cs="Arial"/>
          <w:bCs/>
          <w:color w:val="000000"/>
        </w:rPr>
      </w:pPr>
      <w:r>
        <w:rPr>
          <w:rFonts w:cs="Arial" w:ascii="Arial Narrow" w:hAnsi="Arial Narrow"/>
          <w:bCs/>
          <w:color w:val="000000"/>
        </w:rPr>
        <w:t>10. La entidad y el proponente elaborarán un acta de los acuerdos alcanzados en esta revisión, con el fin de que se incluyan en el respectivo contrato.</w:t>
      </w:r>
    </w:p>
    <w:p>
      <w:pPr>
        <w:pStyle w:val="Normal"/>
        <w:jc w:val="both"/>
        <w:rPr>
          <w:rFonts w:ascii="Arial Narrow" w:hAnsi="Arial Narrow" w:cs="Arial"/>
          <w:bCs/>
          <w:color w:val="000000"/>
        </w:rPr>
      </w:pPr>
      <w:r>
        <w:rPr>
          <w:rFonts w:cs="Arial" w:ascii="Arial Narrow" w:hAnsi="Arial Narrow"/>
          <w:bCs/>
          <w:color w:val="000000"/>
        </w:rPr>
        <w:t>11. La entidad adjudicará el contrato al consultor seleccionado, por medio de acto administrativo motivado.</w:t>
      </w:r>
    </w:p>
    <w:p>
      <w:pPr>
        <w:pStyle w:val="Normal"/>
        <w:jc w:val="both"/>
        <w:rPr>
          <w:rFonts w:ascii="Arial Narrow" w:hAnsi="Arial Narrow" w:cs="Arial"/>
          <w:bCs/>
          <w:color w:val="000000"/>
        </w:rPr>
      </w:pPr>
      <w:r>
        <w:rPr>
          <w:rFonts w:cs="Arial" w:ascii="Arial Narrow" w:hAnsi="Arial Narrow"/>
          <w:bCs/>
          <w:color w:val="000000"/>
        </w:rPr>
      </w:r>
    </w:p>
    <w:p>
      <w:pPr>
        <w:pStyle w:val="Normal"/>
        <w:jc w:val="both"/>
        <w:rPr>
          <w:rFonts w:ascii="Arial Narrow" w:hAnsi="Arial Narrow" w:cs="Arial"/>
          <w:bCs/>
          <w:color w:val="000000"/>
        </w:rPr>
      </w:pPr>
      <w:r>
        <w:rPr>
          <w:rFonts w:cs="Arial" w:ascii="Arial Narrow" w:hAnsi="Arial Narrow"/>
          <w:bCs/>
          <w:color w:val="000000"/>
        </w:rPr>
        <w:t>El INVISBU debe evaluar las Ofertas de los Proponentes que hayan acreditado los requisitos habilitantes.</w:t>
      </w:r>
    </w:p>
    <w:p>
      <w:pPr>
        <w:pStyle w:val="Normal"/>
        <w:jc w:val="both"/>
        <w:rPr>
          <w:rFonts w:ascii="Arial Narrow" w:hAnsi="Arial Narrow" w:cs="Arial"/>
          <w:bCs/>
          <w:color w:val="000000"/>
        </w:rPr>
      </w:pPr>
      <w:r>
        <w:rPr>
          <w:rFonts w:cs="Arial" w:ascii="Arial Narrow" w:hAnsi="Arial Narrow"/>
          <w:bCs/>
          <w:color w:val="000000"/>
        </w:rPr>
      </w:r>
    </w:p>
    <w:p>
      <w:pPr>
        <w:pStyle w:val="Heading1"/>
        <w:numPr>
          <w:ilvl w:val="0"/>
          <w:numId w:val="1"/>
        </w:numPr>
        <w:ind w:hanging="0" w:left="0"/>
        <w:rPr>
          <w:sz w:val="24"/>
          <w:szCs w:val="24"/>
        </w:rPr>
      </w:pPr>
      <w:bookmarkStart w:id="20" w:name="__RefHeading___Toc482871755"/>
      <w:bookmarkEnd w:id="20"/>
      <w:r>
        <w:rPr>
          <w:sz w:val="24"/>
          <w:szCs w:val="24"/>
        </w:rPr>
        <w:t>OFERTA</w:t>
      </w:r>
    </w:p>
    <w:p>
      <w:pPr>
        <w:pStyle w:val="Heading1"/>
        <w:numPr>
          <w:ilvl w:val="0"/>
          <w:numId w:val="1"/>
        </w:numPr>
        <w:ind w:hanging="0" w:left="0"/>
        <w:rPr>
          <w:sz w:val="24"/>
          <w:szCs w:val="24"/>
        </w:rPr>
      </w:pPr>
      <w:bookmarkStart w:id="21" w:name="__RefHeading___Toc482871756"/>
      <w:bookmarkEnd w:id="21"/>
      <w:r>
        <w:rPr>
          <w:sz w:val="24"/>
          <w:szCs w:val="24"/>
        </w:rPr>
        <w:t>A. Presentación</w:t>
      </w:r>
    </w:p>
    <w:p>
      <w:pPr>
        <w:pStyle w:val="Normal"/>
        <w:jc w:val="both"/>
        <w:rPr>
          <w:rFonts w:ascii="Arial Narrow" w:hAnsi="Arial Narrow" w:cs="Arial"/>
          <w:bCs/>
          <w:color w:val="000000"/>
          <w:sz w:val="24"/>
          <w:szCs w:val="24"/>
        </w:rPr>
      </w:pPr>
      <w:r>
        <w:rPr>
          <w:rFonts w:cs="Arial" w:ascii="Arial Narrow" w:hAnsi="Arial Narrow"/>
          <w:bCs/>
          <w:color w:val="000000"/>
          <w:sz w:val="24"/>
          <w:szCs w:val="24"/>
        </w:rPr>
      </w:r>
    </w:p>
    <w:p>
      <w:pPr>
        <w:pStyle w:val="Normal"/>
        <w:numPr>
          <w:ilvl w:val="0"/>
          <w:numId w:val="10"/>
        </w:numPr>
        <w:jc w:val="both"/>
        <w:rPr>
          <w:rFonts w:ascii="Arial Narrow" w:hAnsi="Arial Narrow" w:cs="Arial"/>
          <w:bCs/>
          <w:color w:val="000000"/>
        </w:rPr>
      </w:pPr>
      <w:r>
        <w:rPr>
          <w:rFonts w:cs="Arial" w:ascii="Arial Narrow" w:hAnsi="Arial Narrow"/>
          <w:bCs/>
          <w:color w:val="000000"/>
        </w:rPr>
        <w:t>Los Proponentes deben presentar sus Ofertas por escrito y en medio magnético, con los formatos contenidos en los Anexos, en la fecha establecida en el Cronograma y acompañadas de los documentos solicitados en esta sección, así como de la garantía de seriedad de la Oferta del presente Pliego de Condiciones.</w:t>
      </w:r>
    </w:p>
    <w:p>
      <w:pPr>
        <w:pStyle w:val="Normal"/>
        <w:numPr>
          <w:ilvl w:val="0"/>
          <w:numId w:val="10"/>
        </w:numPr>
        <w:jc w:val="both"/>
        <w:rPr>
          <w:rFonts w:ascii="Arial Narrow" w:hAnsi="Arial Narrow" w:cs="Arial"/>
          <w:bCs/>
          <w:color w:val="000000"/>
        </w:rPr>
      </w:pPr>
      <w:r>
        <w:rPr>
          <w:rFonts w:cs="Arial" w:ascii="Arial Narrow" w:hAnsi="Arial Narrow"/>
          <w:bCs/>
          <w:color w:val="000000"/>
        </w:rPr>
        <w:t>Las Ofertas estarán vigentes por el término de sesenta (60) días calendario, contados desde la fecha de presentación de Ofertas establecida en el Cronograma.</w:t>
      </w:r>
    </w:p>
    <w:p>
      <w:pPr>
        <w:pStyle w:val="Normal"/>
        <w:numPr>
          <w:ilvl w:val="0"/>
          <w:numId w:val="10"/>
        </w:numPr>
        <w:jc w:val="both"/>
        <w:rPr>
          <w:rFonts w:ascii="Arial Narrow" w:hAnsi="Arial Narrow" w:cs="Arial"/>
          <w:bCs/>
          <w:color w:val="000000"/>
        </w:rPr>
      </w:pPr>
      <w:r>
        <w:rPr>
          <w:rFonts w:cs="Arial" w:ascii="Arial Narrow" w:hAnsi="Arial Narrow"/>
          <w:bCs/>
          <w:color w:val="000000"/>
        </w:rPr>
        <w:t>Los documentos de la Oferta deben estar foliados de forma consecutiva por hoja y la numeración debe iniciar con el número uno (1).</w:t>
      </w:r>
    </w:p>
    <w:p>
      <w:pPr>
        <w:pStyle w:val="Normal"/>
        <w:numPr>
          <w:ilvl w:val="0"/>
          <w:numId w:val="10"/>
        </w:numPr>
        <w:jc w:val="both"/>
        <w:rPr>
          <w:rFonts w:ascii="Arial Narrow" w:hAnsi="Arial Narrow" w:cs="Arial"/>
          <w:bCs/>
          <w:color w:val="000000"/>
        </w:rPr>
      </w:pPr>
      <w:r>
        <w:rPr>
          <w:rFonts w:cs="Arial" w:ascii="Arial Narrow" w:hAnsi="Arial Narrow"/>
          <w:bCs/>
          <w:color w:val="000000"/>
        </w:rPr>
        <w:t>La presentación de la Oferta implica la aceptación por parte del Proponente de la distribución de Riesgos efectuada en el Pliego de Condiciones y sus Adendas.</w:t>
      </w:r>
    </w:p>
    <w:p>
      <w:pPr>
        <w:pStyle w:val="Normal"/>
        <w:numPr>
          <w:ilvl w:val="0"/>
          <w:numId w:val="10"/>
        </w:numPr>
        <w:jc w:val="both"/>
        <w:rPr>
          <w:rFonts w:ascii="Arial Narrow" w:hAnsi="Arial Narrow" w:cs="Arial"/>
          <w:bCs/>
          <w:color w:val="000000"/>
        </w:rPr>
      </w:pPr>
      <w:r>
        <w:rPr>
          <w:rFonts w:cs="Arial" w:ascii="Arial Narrow" w:hAnsi="Arial Narrow"/>
          <w:bCs/>
          <w:color w:val="000000"/>
        </w:rPr>
        <w:t>En la hora siguiente al vencimiento del plazo para presentar Ofertas, el INVISBU, las abrirá en el lugar indicado para la presentación física de las Ofertas y frente a los Proponentes que se  encuentren presentes.</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ind w:hanging="0" w:left="0"/>
        <w:rPr>
          <w:sz w:val="24"/>
          <w:szCs w:val="24"/>
        </w:rPr>
      </w:pPr>
      <w:bookmarkStart w:id="22" w:name="__RefHeading___Toc482871757"/>
      <w:bookmarkEnd w:id="22"/>
      <w:r>
        <w:rPr>
          <w:sz w:val="24"/>
          <w:szCs w:val="24"/>
        </w:rPr>
        <w:t>VI. Requisitos Habilitantes</w:t>
      </w:r>
    </w:p>
    <w:p>
      <w:pPr>
        <w:pStyle w:val="Normal"/>
        <w:jc w:val="center"/>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El Instituto de Vivienda de Interés Social y Reforma Urbana del Municipio de Bucaramanga – INVISBU, debe verificar con el Registro Único de Proponentes el cumplimiento de los requisitos habilitantes. Esta verificación se hará de acuerdo con el decreto 1082 del 2015 y el Manual para determinar y verificar los requisitos habilitantes en Procesos de Contratación expedido por Colombia Compra Eficiente.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De conformidad con el numeral 6.1 del artículo 6 de la Ley 1150 de 2007, solo en aquellos casos en que por las características del objeto a contratar se requiera la verificación de requisitos del Proponente adicionales a los contenidos en el RUP, la Entidad Estatal puede hacer tal verificación en forma directa.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A. Capacidad Jurídica</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numPr>
          <w:ilvl w:val="0"/>
          <w:numId w:val="6"/>
        </w:numPr>
        <w:rPr>
          <w:rFonts w:ascii="Arial Narrow" w:hAnsi="Arial Narrow" w:eastAsia="Calibri" w:cs="Arial Narrow"/>
          <w:b/>
          <w:color w:val="000000"/>
          <w:lang w:eastAsia="es-CO"/>
        </w:rPr>
      </w:pPr>
      <w:r>
        <w:rPr>
          <w:rFonts w:cs="Arial Narrow" w:ascii="Arial Narrow" w:hAnsi="Arial Narrow"/>
          <w:b/>
          <w:color w:val="000000"/>
          <w:lang w:val="es-CO" w:eastAsia="es-CO"/>
        </w:rPr>
        <w:t>Carta de Presentación de la propuesta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oferta debe estar acompañada de carta de presentación debidamente firmada por él o los Representantes Legales o Apoderados del proponente (si éste es una persona jurídica), o la persona designada (si el proponente es un consorcio o una unión temporal), o quien debidamente autorizado y acreditado haga sus veces siguiendo el modelo que para tal efecto se suministra. En el evento que el proponente no sea profesional en el área de la ingeniería civil o arquitectura la propuesta deberá venir avalada por un profesional en cualquiera de estas ramas de conformidad con lo establecido en la ley 842 de 2003.</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Certificado del RUP</w:t>
      </w:r>
      <w:r>
        <w:rPr>
          <w:rFonts w:cs="Arial" w:ascii="Arial Narrow" w:hAnsi="Arial Narrow"/>
          <w:color w:val="000000"/>
          <w:lang w:val="es-CO" w:eastAsia="es-CO"/>
        </w:rPr>
        <w:t xml:space="preserve"> </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Registro único de proponentes (RUP). El RUP, debe estar renovado y en firme y su fecha de expedición no debe ser mayor a treinta (30) días calendario para nacionales y para extranjeros de sesenta (60) días calendarios anteriores a la fecha prevista para la recepción de documentos.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Certificado de Existencia y Representación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Expedido dentro de los 30 días calendario anteriores a la fecha definitiva de cierre del proceso de selección, expedido por la Cámara de Comercio respectiva, en el cual conste que la sociedad está registrada o tiene sucursal domiciliada en Colombia, las facultades del representante legal y que el término de duración de ésta no es inferior a la duración del contrato y un año más. Así mismo, su objeto social debe corresponder al objeto del presente proceso de selección o actividades afines.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anexar el correspondiente certificado.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firma proponente, de conformidad con el certificado de existencia y representación legal expedido por la Cámara de Comercio, tenga limitada su capacidad para licitar o contratar, deberá acompañar la correspondiente autorización del órgano directivo de la sociedad, “autorizándolo para estos fines”. La misma condición aplica para los que integren el consorcio o la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se actúe en calidad de apoderado, deberá acreditarse tal condición mediante documento legalmente otorgado ante autoridad competente y de conformidad con la normatividad vigente.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El objeto social de la firma proponente debe estar en concordancia con el objeto de la contratación. En caso de consorcios y/o uniones temporales todos los integrantes deberán estar en concordancia con el objeto a contratar.</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b/>
          <w:color w:val="000000"/>
          <w:lang w:val="es-CO" w:eastAsia="es-CO"/>
        </w:rPr>
      </w:pPr>
      <w:r>
        <w:rPr>
          <w:rFonts w:cs="Arial" w:ascii="Arial Narrow" w:hAnsi="Arial Narrow"/>
          <w:b/>
          <w:color w:val="000000"/>
          <w:lang w:val="es-CO" w:eastAsia="es-CO"/>
        </w:rPr>
        <w:t>Documentos de Conformación de Consorcio o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Además de los documentos requeridos para las personas naturales o jurídicas, los miembros del consorcio o unión temporal (según el caso), deberán aportar el documento de constitución firmado por los integrantes EN ORIGINAL, el cual deberá tener en cuenta lo dispuesto en el Artículo 7º de la Ley 80 de 1993. ANEXO ADJUNTO AL PRESENTE PROCESO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firstLine="360" w:right="0"/>
        <w:jc w:val="both"/>
        <w:rPr>
          <w:rFonts w:ascii="Arial Narrow" w:hAnsi="Arial Narrow" w:cs="Arial"/>
          <w:color w:val="000000"/>
          <w:lang w:val="es-CO" w:eastAsia="es-CO"/>
        </w:rPr>
      </w:pPr>
      <w:r>
        <w:rPr>
          <w:rFonts w:cs="Arial" w:ascii="Arial Narrow" w:hAnsi="Arial Narrow"/>
          <w:color w:val="000000"/>
          <w:lang w:val="es-CO" w:eastAsia="es-CO"/>
        </w:rPr>
        <w:t>Este documento deberá cumplir con los siguientes requisitos: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a. Si los proponentes desean participar como Consorcio o Unión Temporal, en este último caso deberán señalar las condiciones y extensión de la participación en la propuesta y en la ejecución del contrato, los cuales no podrán ser modificados sin el consentimiento previo de la Entidad.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b. La persona que para todos los efectos legales representará al Consorcio o Unión Temporal, deberá tener facultades amplias y suficientes para obligar y responsabilizar a todos los integrantes del Consorcio o la Unión Temporal. En el documento se deben señalar además, las reglas básicas que regulen las relaciones entre los miembros del Consorcio o Unión Temporal y su responsabilidad.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c. Los integrantes del Consorcio o Unión Temporal deben cumplir los requisitos legales y acompañar los documentos requeridos en el presente Pliego de Condiciones, para efectos legales, como si fueran a participar en forma independiente.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d. El objeto social de todos los integrantes del consorcio o unión temporal debe comprender la realización de actividades similares al objeto de este proceso de selección.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e. La propuesta debe estar firmada por el Representante Legal que hayan designado los integrantes del consorcio o unión temporal o por intermedio de su agente comercial y/o mandatario con poder debidamente conferido para el efecto, de acuerdo con la ley, casos en los cuales deberán adjuntarse el (los) documentos (s) que lo acredite (n) como tal.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f. En caso de resultar adjudicatarios del proceso, para la suscripción del contrato deberán presentar el respectivo Número de Identificación Tributaria – NIT, como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g. Los integrantes del consorcio o unión temporal no pueden ceder sus derechos a terceros, sin obtener la autorización previa y expresa del INVISBU. En ningún caso podrá haber cesión del contrato entre quienes integran el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h. Los Consorcios o Uniones Temporales deberán presentar los documentos de existencia y representación legal que, para cada uno de los integrantes, expida la Cámara de Comercio ó la autoridad competente, ya sean personas Naturales o Jurídicas, así como el certificado de Inscripción, clasificación y calificación en el Registro Único de Proponentes.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i. Los representantes legales de las personas jurídicas que conformen o hagan parte de un Consorcio o Unión Temporal, aportarán con la propuesta la autorización o poder de la Junta de Socios, que los faculte para ofrecer, contratar y conformar Consorcios o Uniones Temporales. Este requisito se exigirá en los casos en que esta facultad se encuentre restringida. En caso que el representante legal del Consorcio o Unión Temporal o de cualquiera de los integrantes de estos exceda las limitaciones que le otorgan el órgano competente, o el acuerdo de integración, se rechazará la propuesta.</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 xml:space="preserve">j. El documento en el que se exprese la voluntad de presentar la propuesta en consorcio o unión temporal, deberá ir acompañado de los documentos (certificados de cámara de comercio, actas de junta directiva, poderes, etc.) que acrediten que quienes lo suscribieron tenían la representación y capacidad necesarias para adquirir las obligaciones solidarias derivadas de la propuesta y del contrato resultante. </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k.Los Consorcios o Uniones Temporales deberán tener en cuenta que, de conformidad con el Artículo 7° de la Ley 80 de 1993, la adjudicación del contrato conlleva la responsabilidad solidaria por su celebración y ejecución.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l. No se aceptan propuestas bajo la modalidad de promesa de conformación de Consorcios o Uniones Temporales.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m. Las Uniones Temporales, deberán registrar el porcentaje de participación de cada uno de sus miembros o de lo contrario se entenderá que se presentan a título de consorcio.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Certificación de Aportes al Sistema de Seguridad Social Integral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certificación debe ser expedida por el Revisor Fiscal, en caso que la empresa tenga la obligación legal de tenerlo, o por el Representante Legal cuando no exista dicha obligación, durante los seis (6) meses anteriores al cierre del proceso de selección, o en caso de que la sociedad haya sido constituida en un término inferior a los seis (6) meses, por el tiempo de su constitución. Lo anterior de conformidad con lo dispuesto en el artículo 50 de la Ley 789 de 2002 y artículo 23 de la Ley 1150 de 2007 y demás impuestos que consagra la Ley 1607 de 2012, cuando haya lugar a ellos para cada uno de los respectivos desembolsos.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presentar esta certificación conforme lo exige la Ley.</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Obligación deberá cumplirse y acreditarse durante la ejecución del contrato si el proponente fuere adjudicatario.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de no estar obligados deberá adjuntar manifestación bajo la gravedad de juramento de esta condición y la normativa que lo ampara.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Para quienes no estén obligados al pago de aportes parafiscales por estar sometidos al impuesto para la equidad (CREE) lo acreditaran con copia de la última declaración de dicho impuesto que estuvo obligado a presentar o certificarlo bajo la gravedad de juramento.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b/>
          <w:color w:val="000000"/>
          <w:lang w:val="es-CO" w:eastAsia="es-CO"/>
        </w:rPr>
      </w:pPr>
      <w:r>
        <w:rPr>
          <w:rFonts w:cs="Arial" w:ascii="Arial Narrow" w:hAnsi="Arial Narrow"/>
          <w:b/>
          <w:color w:val="000000"/>
          <w:lang w:val="es-CO" w:eastAsia="es-CO"/>
        </w:rPr>
        <w:t>Autorización del Órgano Societario al Representante Legal para comprometer a la persona jurídica.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persona jurídica tenga restricciones para contraer obligaciones en nombre de la misma, deberá adjuntar el documento de autorización expresa del órgano societario competente, en el cual conste que está facultado para presentar la oferta y firmar el contrato.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el caso de los consorcios y uniones temporales, el Representante Legal de cada una de las personas jurídicas que los integren deberá contar con dicha autorización, teniendo en cuenta que la responsabilidad de todos sus integrantes es solidaria, de acuerdo con lo dispuesto en el artículo 7 de la Ley 80 de 1993 y en los artículos 1568,1569 y 1571 del Código Civil.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b/>
          <w:color w:val="000000"/>
          <w:lang w:val="es-CO" w:eastAsia="es-CO"/>
        </w:rPr>
      </w:pPr>
      <w:r>
        <w:rPr>
          <w:rFonts w:cs="Arial" w:ascii="Arial Narrow" w:hAnsi="Arial Narrow"/>
          <w:b/>
          <w:color w:val="000000"/>
          <w:lang w:val="es-CO" w:eastAsia="es-CO"/>
        </w:rPr>
        <w:t>Fotocopia de la cédula de ciudadanía del Representante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Las personas naturales colombianas deberán presentar copia de su Cédula de Ciudadanía. Las personas naturales extranjeras, deberán acreditar su existencia mediante la presentación de copia de su pasaporte, y si se encuentran residenciadas en Colombia, mediante la presentación de copia de la Cédula de Extranjería expedida por la autoridad colombiana competente.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personas jurídicas, se aportará copia de la cédula de ciudadanía del representante legal y en el evento de consorcio o unión temporal, copia del representante legal de cada uno de los integrantes que lo conforman.</w:t>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Certificación sobre Responsabilidad Fiscal.</w:t>
      </w:r>
    </w:p>
    <w:p>
      <w:pPr>
        <w:pStyle w:val="Normal"/>
        <w:ind w:left="360" w:right="0"/>
        <w:jc w:val="both"/>
        <w:rPr/>
      </w:pPr>
      <w:r>
        <w:rPr>
          <w:rFonts w:cs="Arial" w:ascii="Arial Narrow" w:hAnsi="Arial Narrow"/>
          <w:color w:val="000000"/>
          <w:lang w:val="es-CO" w:eastAsia="es-CO"/>
        </w:rPr>
        <w:t xml:space="preserve">La entidad verificará estos antecedentes en la página web de la Contraloría General de la Republica </w:t>
      </w:r>
      <w:hyperlink r:id="rId4">
        <w:r>
          <w:rPr>
            <w:rStyle w:val="Hyperlink"/>
            <w:rFonts w:cs="Arial" w:ascii="Arial Narrow" w:hAnsi="Arial Narrow"/>
            <w:color w:val="000000"/>
            <w:lang w:val="es-CO" w:eastAsia="es-CO"/>
          </w:rPr>
          <w:t>http://www.contraloria.gov.co/</w:t>
        </w:r>
      </w:hyperlink>
      <w:r>
        <w:rPr>
          <w:rFonts w:cs="Arial" w:ascii="Arial Narrow" w:hAnsi="Arial Narrow"/>
          <w:color w:val="000000"/>
          <w:lang w:val="es-CO" w:eastAsia="es-CO"/>
        </w:rPr>
        <w:t>. En todo caso el proponente podrá anexar a la propuesta dicho certificado actualizado.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ind w:hanging="360" w:left="360" w:right="0"/>
        <w:jc w:val="both"/>
        <w:rPr>
          <w:rFonts w:ascii="Arial Narrow" w:hAnsi="Arial Narrow" w:cs="Arial"/>
          <w:color w:val="000000"/>
          <w:lang w:val="es-CO" w:eastAsia="es-CO"/>
        </w:rPr>
      </w:pPr>
      <w:r>
        <w:rPr>
          <w:rFonts w:cs="Arial" w:ascii="Arial Narrow" w:hAnsi="Arial Narrow"/>
          <w:b/>
          <w:color w:val="000000"/>
          <w:lang w:val="es-CO" w:eastAsia="es-CO"/>
        </w:rPr>
        <w:t>Certificado de antecedentes disciplinarios, expedido por la Procuraduría General de la Nación.</w:t>
      </w:r>
      <w:r>
        <w:rPr>
          <w:rFonts w:cs="Arial" w:ascii="Arial Narrow" w:hAnsi="Arial Narrow"/>
          <w:color w:val="000000"/>
          <w:lang w:val="es-CO" w:eastAsia="es-CO"/>
        </w:rPr>
        <w:t xml:space="preserve">La Entidad consultará y verificará, de la página Web de la Procuraduría General de la Nación </w:t>
      </w:r>
      <w:hyperlink r:id="rId5">
        <w:r>
          <w:rPr>
            <w:rStyle w:val="Hyperlink"/>
            <w:rFonts w:cs="Arial" w:ascii="Arial Narrow" w:hAnsi="Arial Narrow"/>
            <w:color w:val="000000"/>
            <w:u w:val="single"/>
            <w:lang w:val="es-CO" w:eastAsia="es-CO"/>
          </w:rPr>
          <w:t>https://www.procuraduria.gov.co/portal/antecedentes.html/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Consulta de antecedentes judiciales</w:t>
      </w:r>
    </w:p>
    <w:p>
      <w:pPr>
        <w:pStyle w:val="Normal"/>
        <w:ind w:left="360" w:right="0"/>
        <w:jc w:val="both"/>
        <w:rPr/>
      </w:pPr>
      <w:r>
        <w:rPr>
          <w:rFonts w:cs="Arial" w:ascii="Arial Narrow" w:hAnsi="Arial Narrow"/>
          <w:color w:val="000000"/>
          <w:lang w:val="es-CO" w:eastAsia="es-CO"/>
        </w:rPr>
        <w:t xml:space="preserve">La Entidad consultará los antecedentes judiciales del representante legal o persona natural en la página </w:t>
      </w:r>
      <w:hyperlink r:id="rId6">
        <w:r>
          <w:rPr>
            <w:rStyle w:val="Hyperlink"/>
            <w:rFonts w:cs="Arial" w:ascii="Arial Narrow" w:hAnsi="Arial Narrow"/>
            <w:color w:val="000000"/>
            <w:lang w:val="es-CO" w:eastAsia="es-CO"/>
          </w:rPr>
          <w:t>https://antecedentes.policia.gov.co:7005/WebJudicial/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Libreta militar en caso de que el representante legal o persona natural sea hombre menor de 50 años.</w:t>
      </w:r>
    </w:p>
    <w:p>
      <w:pPr>
        <w:pStyle w:val="Normal"/>
        <w:ind w:left="360" w:right="0"/>
        <w:jc w:val="both"/>
        <w:rPr/>
      </w:pPr>
      <w:r>
        <w:rPr>
          <w:rFonts w:cs="Arial" w:ascii="Arial Narrow" w:hAnsi="Arial Narrow"/>
          <w:color w:val="000000"/>
          <w:lang w:val="es-CO" w:eastAsia="es-CO"/>
        </w:rPr>
        <w:t xml:space="preserve">La Entidad consultará y verificará, de la página Web </w:t>
      </w:r>
      <w:hyperlink r:id="rId7">
        <w:r>
          <w:rPr>
            <w:rStyle w:val="Hyperlink"/>
            <w:rFonts w:cs="Arial" w:ascii="Arial Narrow" w:hAnsi="Arial Narrow"/>
            <w:color w:val="000000"/>
            <w:lang w:val="es-CO" w:eastAsia="es-CO"/>
          </w:rPr>
          <w:t>https://www.libretamilitar.mil.co/modules/consult/militarysituation</w:t>
        </w:r>
      </w:hyperlink>
      <w:r>
        <w:rPr>
          <w:rFonts w:cs="Arial" w:ascii="Arial Narrow" w:hAnsi="Arial Narrow"/>
          <w:color w:val="000000"/>
          <w:lang w:val="es-CO" w:eastAsia="es-CO"/>
        </w:rPr>
        <w:t>. En todo caso el proponente podrá anexar a la propuesta dicho certificado. Aplica para varones y menores de cincuenta años.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Copia del Registro Único Tributario (RUT)</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Copia del registro único tributario (RUT) actualizado del proponente y en caso de uniones temporales o consorcios de cada uno de sus miembros.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Adicionalmente dicho documento será la base para establecer el Régimen Tributario al que pertenece el futuro contratista.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ser persona natural o jurídica extranjera, sin domicilio en Colombia, el documento equivalente en su país de origen, conforme a los requisitos establecidos para los documentos expedidos en el exterior. De no existir este requerimiento, declararlo bajo la gravedad de juramento que se entiende prestado con la presentación del documento ante el Municipio y cumpliendo lo establecido en el pliego para los documentos dados en el exterior.</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6"/>
        </w:numPr>
        <w:jc w:val="both"/>
        <w:rPr>
          <w:rFonts w:ascii="Arial Narrow" w:hAnsi="Arial Narrow" w:cs="Arial"/>
          <w:color w:val="000000"/>
          <w:lang w:val="es-CO" w:eastAsia="es-CO"/>
        </w:rPr>
      </w:pPr>
      <w:r>
        <w:rPr>
          <w:rFonts w:cs="Arial" w:ascii="Arial Narrow" w:hAnsi="Arial Narrow"/>
          <w:b/>
          <w:color w:val="000000"/>
          <w:lang w:val="es-CO" w:eastAsia="es-CO"/>
        </w:rPr>
        <w:t>Personas jurídicas y naturales sin representación en Colombia</w:t>
      </w:r>
    </w:p>
    <w:p>
      <w:pPr>
        <w:pStyle w:val="Normal"/>
        <w:numPr>
          <w:ilvl w:val="0"/>
          <w:numId w:val="3"/>
        </w:numPr>
        <w:jc w:val="both"/>
        <w:rPr>
          <w:rFonts w:ascii="Arial Narrow" w:hAnsi="Arial Narrow" w:cs="Arial"/>
          <w:color w:val="000000"/>
          <w:lang w:val="es-CO" w:eastAsia="es-CO"/>
        </w:rPr>
      </w:pPr>
      <w:r>
        <w:rPr>
          <w:rFonts w:cs="Arial" w:ascii="Arial Narrow" w:hAnsi="Arial Narrow"/>
          <w:color w:val="000000"/>
          <w:lang w:val="es-CO" w:eastAsia="es-CO"/>
        </w:rPr>
        <w:t>Las personas jurídicas extranjeras sin sucursal en Colombia, deberán acreditar su existencia y representación legal mediante el certificado de la Cámara de Comercio de su país de origen, o del documento que haga sus veces en el respectivo país de origen del proponente. Los citados documentos deberán tener una fecha de expedición no mayor a ciento veinte (120) días calendario, anteriores al cierre del proceso de selección.</w:t>
      </w:r>
    </w:p>
    <w:p>
      <w:pPr>
        <w:pStyle w:val="Normal"/>
        <w:numPr>
          <w:ilvl w:val="0"/>
          <w:numId w:val="3"/>
        </w:numPr>
        <w:jc w:val="both"/>
        <w:rPr>
          <w:rFonts w:ascii="Arial Narrow" w:hAnsi="Arial Narrow" w:cs="Arial"/>
          <w:color w:val="000000"/>
          <w:lang w:val="es-CO" w:eastAsia="es-CO"/>
        </w:rPr>
      </w:pPr>
      <w:r>
        <w:rPr>
          <w:rFonts w:cs="Arial" w:ascii="Arial Narrow" w:hAnsi="Arial Narrow"/>
          <w:color w:val="000000"/>
          <w:lang w:val="es-CO" w:eastAsia="es-CO"/>
        </w:rPr>
        <w:t>En todo caso, los documentos aportados por el proponente extranjero deberán acreditar la siguiente información: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1. Que el objeto social principal o conexo del Proponente incluye actividades relacionadas con el objeto del proceso de selección y en el contrato que de él se derive.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2. Capacidad para participar en el proceso licitatorio, así como para celebrar y ejecutar el contrato.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3. Que la vigencia de la sociedad no será inferior a la duración estimada del contrato, su vigencia y un año más contado a partir de la fecha de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4. Que el representante legal de la sociedad tiene la suficiente capacidad legal para comprometer a la sociedad sin limitaciones de ninguna naturaleza o cuantía, en todos los aspectos requeridos para la presentación de la propuesta, la celebración del contrato y en general, para actuar frente a cualquier obligación que se derive de la celebración, legalización, ejecución, terminación y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5. Si el representante legal tuviere algún tipo de limitación estatutaria para presentar propuesta, suscribir el contrato y en general para efectuar cualquier acto derivado del proceso licitatorio y del contrato en caso de resultar adjudicatario, deberá adjuntarse una autorización del órgano social competente de la sociedad para participar en el proceso de selección, y efectuar cualquier acto derivado del proceso licitatorio. Así mismo, si la sociedad extranjera participa en el proceso mediante apoderado, la autorización del órgano social deberá incluir la facultad para nombrar apoderado.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6. Cuando no existiera en el país de origen del proponente una entidad que certifique la información arriba solicitada, la información se acreditará mediante un documento expedido por el representante legal o por el máximo órgano directivo del proponente en el que conste cada una de las circunstancias exigidas en el presente numeral y se declare que según las leyes de ese país la información solicitada no puede aportarse en los términos. Este documento debe presentarse ante la autoridad encargada de dar fe pública en el país de origen.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7. En el evento en que una persona jurídica extranjera resulte adjudicataria del contrato objeto del presente proceso de selección, deberá establecer una sucursal en Colombia, conforme a lo dispuesto en los artículos 471 y 474 del Código de Comercio.</w:t>
      </w:r>
    </w:p>
    <w:p>
      <w:pPr>
        <w:pStyle w:val="Normal"/>
        <w:numPr>
          <w:ilvl w:val="0"/>
          <w:numId w:val="3"/>
        </w:numPr>
        <w:jc w:val="both"/>
        <w:rPr>
          <w:rFonts w:ascii="Arial Narrow" w:hAnsi="Arial Narrow" w:cs="Arial"/>
          <w:color w:val="000000"/>
          <w:lang w:val="es-CO" w:eastAsia="es-CO"/>
        </w:rPr>
      </w:pPr>
      <w:r>
        <w:rPr>
          <w:rFonts w:cs="Arial" w:ascii="Arial Narrow" w:hAnsi="Arial Narrow"/>
          <w:color w:val="000000"/>
          <w:lang w:val="es-CO" w:eastAsia="es-CO"/>
        </w:rPr>
        <w:t>Las sociedades extranjeras sin sucursal en Colombia deberán presentar la oferta mediante apoderado debidamente constituido, con domicilio en Colombia y ampliamente facultado para presentar la oferta, suministrar la información solicitada, participar y comprometer a la sociedad en las diferentes instancias de la licitación , suscribir los documentos que se requieran, suscribir el contrato, así como para representarlas judicial o extrajudicialmente. Deberán mantener dicho apoderado por el término de vigencia del contrato y un año más como mínimo, a menos que, de conformidad con las normas legales vigentes tengan la obligación de establecer sucursal en Colombia.</w:t>
      </w:r>
    </w:p>
    <w:p>
      <w:pPr>
        <w:pStyle w:val="Normal"/>
        <w:numPr>
          <w:ilvl w:val="0"/>
          <w:numId w:val="3"/>
        </w:numPr>
        <w:jc w:val="both"/>
        <w:rPr>
          <w:rFonts w:ascii="Arial Narrow" w:hAnsi="Arial Narrow" w:cs="Arial"/>
          <w:color w:val="000000"/>
          <w:lang w:val="es-CO" w:eastAsia="es-CO"/>
        </w:rPr>
      </w:pPr>
      <w:r>
        <w:rPr>
          <w:rFonts w:cs="Arial" w:ascii="Arial Narrow" w:hAnsi="Arial Narrow"/>
          <w:color w:val="000000"/>
          <w:lang w:val="es-CO" w:eastAsia="es-CO"/>
        </w:rPr>
        <w:t>Quien firme la carta de presentación de la oferta deberá acreditar que es el representante legal del Proponente o que con esa calidad confiere el poder respectivo. Cuando la carta de presentación la suscriba un apoderado, se deberá presentar el poder respectivo conforme las reglas procedimentales vigentes en Colombia.</w:t>
      </w:r>
    </w:p>
    <w:p>
      <w:pPr>
        <w:pStyle w:val="Normal"/>
        <w:jc w:val="both"/>
        <w:rPr>
          <w:rFonts w:ascii="Arial Narrow" w:hAnsi="Arial Narrow" w:cs="Arial Narrow"/>
          <w:bCs/>
          <w:color w:val="000000"/>
          <w:lang w:val="es-CO" w:eastAsia="es-CO"/>
        </w:rPr>
      </w:pPr>
      <w:r>
        <w:rPr>
          <w:rFonts w:cs="Arial Narrow" w:ascii="Arial Narrow" w:hAnsi="Arial Narrow"/>
          <w:bCs/>
          <w:color w:val="000000"/>
          <w:lang w:val="es-CO" w:eastAsia="es-CO"/>
        </w:rPr>
      </w:r>
    </w:p>
    <w:p>
      <w:pPr>
        <w:pStyle w:val="Normal"/>
        <w:ind w:left="360" w:right="0"/>
        <w:jc w:val="both"/>
        <w:rPr/>
      </w:pPr>
      <w:r>
        <w:rPr>
          <w:rFonts w:cs="Arial Narrow" w:ascii="Arial Narrow" w:hAnsi="Arial Narrow"/>
          <w:bCs/>
          <w:color w:val="000000"/>
          <w:lang w:val="es-CO"/>
        </w:rPr>
        <w:t>El INSTITUTO DE VIVIENDA DE INTERÉS SOCIAL Y REFORMA URBANA DEL MUNICIPIO DE BUCARAMANGA</w:t>
      </w:r>
      <w:r>
        <w:rPr>
          <w:rFonts w:cs="Arial Narrow" w:ascii="Arial Narrow" w:hAnsi="Arial Narrow"/>
          <w:bCs/>
          <w:color w:val="000000"/>
          <w:lang w:val="es-ES"/>
        </w:rPr>
        <w:t>-INVISBU</w:t>
      </w:r>
      <w:r>
        <w:rPr>
          <w:rFonts w:cs="Arial Narrow" w:ascii="Arial Narrow" w:hAnsi="Arial Narrow"/>
          <w:bCs/>
          <w:color w:val="000000"/>
          <w:lang w:val="es-CO"/>
        </w:rPr>
        <w:t xml:space="preserve"> hará la verificación en forma directa de los documentos adicionales del proponente contenidos en el RUP</w:t>
      </w:r>
      <w:r>
        <w:rPr>
          <w:rFonts w:cs="Arial Narrow" w:ascii="Arial Narrow" w:hAnsi="Arial Narrow"/>
          <w:bCs/>
          <w:color w:val="000000"/>
          <w:lang w:val="es-ES"/>
        </w:rPr>
        <w:t>.</w:t>
      </w:r>
    </w:p>
    <w:p>
      <w:pPr>
        <w:pStyle w:val="Normal"/>
        <w:jc w:val="both"/>
        <w:rPr>
          <w:rFonts w:ascii="Arial Narrow" w:hAnsi="Arial Narrow" w:cs="Arial"/>
          <w:bCs/>
          <w:color w:val="000000"/>
          <w:lang w:val="es-ES" w:eastAsia="es-CO"/>
        </w:rPr>
      </w:pPr>
      <w:r>
        <w:rPr>
          <w:rFonts w:cs="Arial" w:ascii="Arial Narrow" w:hAnsi="Arial Narrow"/>
          <w:bCs/>
          <w:color w:val="000000"/>
          <w:lang w:val="es-ES" w:eastAsia="es-CO"/>
        </w:rPr>
      </w:r>
    </w:p>
    <w:p>
      <w:pPr>
        <w:pStyle w:val="Heading1"/>
        <w:numPr>
          <w:ilvl w:val="0"/>
          <w:numId w:val="1"/>
        </w:numPr>
        <w:ind w:hanging="0" w:left="0"/>
        <w:rPr>
          <w:rFonts w:eastAsia="Calibri"/>
          <w:sz w:val="24"/>
          <w:szCs w:val="24"/>
          <w:lang w:eastAsia="es-CO"/>
        </w:rPr>
      </w:pPr>
      <w:bookmarkStart w:id="23" w:name="__RefHeading___Toc482871758"/>
      <w:bookmarkEnd w:id="23"/>
      <w:r>
        <w:rPr>
          <w:rFonts w:eastAsia="Calibri"/>
          <w:sz w:val="24"/>
          <w:szCs w:val="24"/>
          <w:lang w:eastAsia="es-CO"/>
        </w:rPr>
        <w:t>B. REQUISITOS Y DOCUMENTOS HABILITANTES DE ORDEN TÉCNICO</w:t>
      </w:r>
    </w:p>
    <w:p>
      <w:pPr>
        <w:pStyle w:val="Normal"/>
        <w:jc w:val="both"/>
        <w:rPr>
          <w:rFonts w:ascii="Arial Narrow" w:hAnsi="Arial Narrow" w:eastAsia="Calibri" w:cs="Arial"/>
          <w:color w:val="000000"/>
          <w:sz w:val="24"/>
          <w:szCs w:val="24"/>
          <w:lang w:val="es-CO" w:eastAsia="es-CO"/>
        </w:rPr>
      </w:pPr>
      <w:r>
        <w:rPr>
          <w:rFonts w:eastAsia="Calibri" w:cs="Arial" w:ascii="Arial Narrow" w:hAnsi="Arial Narrow"/>
          <w:color w:val="000000"/>
          <w:sz w:val="24"/>
          <w:szCs w:val="24"/>
          <w:lang w:val="es-CO" w:eastAsia="es-CO"/>
        </w:rPr>
      </w:r>
    </w:p>
    <w:p>
      <w:pPr>
        <w:pStyle w:val="Heading1"/>
        <w:numPr>
          <w:ilvl w:val="0"/>
          <w:numId w:val="1"/>
        </w:numPr>
        <w:ind w:hanging="0" w:left="0"/>
        <w:rPr>
          <w:lang w:eastAsia="en-US"/>
        </w:rPr>
      </w:pPr>
      <w:bookmarkStart w:id="24" w:name="__RefHeading___Toc482871759"/>
      <w:bookmarkEnd w:id="24"/>
      <w:r>
        <w:rPr>
          <w:lang w:eastAsia="en-US"/>
        </w:rPr>
        <w:t>EXPERIENCIA GENERAL:</w:t>
      </w:r>
    </w:p>
    <w:p>
      <w:pPr>
        <w:pStyle w:val="Heading1"/>
        <w:numPr>
          <w:ilvl w:val="0"/>
          <w:numId w:val="5"/>
        </w:numPr>
        <w:rPr>
          <w:sz w:val="24"/>
          <w:szCs w:val="24"/>
          <w:lang w:val="es-ES"/>
        </w:rPr>
      </w:pPr>
      <w:bookmarkStart w:id="25" w:name="__RefHeading___Toc482871760"/>
      <w:bookmarkEnd w:id="25"/>
      <w:r>
        <w:rPr>
          <w:sz w:val="24"/>
          <w:szCs w:val="24"/>
        </w:rPr>
        <w:t xml:space="preserve">REQUISITOS Y DOCUMENTOS HABILITANTES DE ORDEN </w:t>
      </w:r>
      <w:r>
        <w:rPr>
          <w:sz w:val="24"/>
          <w:szCs w:val="24"/>
          <w:lang w:val="es-ES"/>
        </w:rPr>
        <w:t>FINANCIERO</w:t>
      </w:r>
    </w:p>
    <w:p>
      <w:pPr>
        <w:pStyle w:val="Normal"/>
        <w:jc w:val="both"/>
        <w:rPr/>
      </w:pPr>
      <w:r>
        <w:rPr>
          <w:rFonts w:cs="Arial Narrow" w:ascii="Arial Narrow" w:hAnsi="Arial Narrow"/>
          <w:color w:val="000000"/>
          <w:lang w:val="es-CO"/>
        </w:rPr>
        <w:t>El Proponente debe acreditar su capacidad financiera con los siguientes indicadores con base en la</w:t>
      </w:r>
      <w:r>
        <w:rPr>
          <w:rFonts w:cs="Arial Narrow" w:ascii="Arial Narrow" w:hAnsi="Arial Narrow"/>
          <w:color w:val="000000"/>
        </w:rPr>
        <w:t xml:space="preserve"> </w:t>
      </w:r>
      <w:r>
        <w:rPr>
          <w:rFonts w:cs="Arial Narrow" w:ascii="Arial Narrow" w:hAnsi="Arial Narrow"/>
          <w:color w:val="000000"/>
          <w:lang w:val="es-CO"/>
        </w:rPr>
        <w:t>información contenida en el RUP, o en la información financiera anexa a la Oferta en aquellos casos</w:t>
      </w:r>
      <w:r>
        <w:rPr>
          <w:rFonts w:cs="Arial Narrow" w:ascii="Arial Narrow" w:hAnsi="Arial Narrow"/>
          <w:color w:val="000000"/>
        </w:rPr>
        <w:t xml:space="preserve"> </w:t>
      </w:r>
      <w:r>
        <w:rPr>
          <w:rFonts w:cs="Arial Narrow" w:ascii="Arial Narrow" w:hAnsi="Arial Narrow"/>
          <w:color w:val="000000"/>
          <w:lang w:val="es-CO"/>
        </w:rPr>
        <w:t>en que el Proponente no esté obligado a estar inscrito en el RUP</w:t>
      </w:r>
      <w:r>
        <w:rPr>
          <w:rFonts w:cs="Arial Narrow" w:ascii="Arial Narrow" w:hAnsi="Arial Narrow"/>
          <w:color w:val="000000"/>
        </w:rPr>
        <w:t>.</w:t>
      </w:r>
    </w:p>
    <w:p>
      <w:pPr>
        <w:pStyle w:val="Normal"/>
        <w:jc w:val="center"/>
        <w:rPr>
          <w:rFonts w:ascii="Arial Narrow" w:hAnsi="Arial Narrow" w:cs="Arial Narrow"/>
          <w:b/>
          <w:color w:val="000000"/>
        </w:rPr>
      </w:pPr>
      <w:r>
        <w:rPr>
          <w:rFonts w:cs="Arial Narrow" w:ascii="Arial Narrow" w:hAnsi="Arial Narrow"/>
          <w:b/>
          <w:color w:val="000000"/>
        </w:rPr>
        <w:t>Tabla  - Indicadores de capacidad financiera</w:t>
      </w:r>
    </w:p>
    <w:p>
      <w:pPr>
        <w:pStyle w:val="Normal"/>
        <w:jc w:val="both"/>
        <w:rPr>
          <w:rFonts w:ascii="Arial Narrow" w:hAnsi="Arial Narrow" w:cs="Arial Narrow"/>
          <w:b/>
          <w:color w:val="000000"/>
        </w:rPr>
      </w:pPr>
      <w:r>
        <w:rPr>
          <w:rFonts w:cs="Arial Narrow" w:ascii="Arial Narrow" w:hAnsi="Arial Narrow"/>
          <w:b/>
          <w:color w:val="000000"/>
        </w:rPr>
      </w:r>
    </w:p>
    <w:tbl>
      <w:tblPr>
        <w:tblW w:w="9693" w:type="dxa"/>
        <w:jc w:val="left"/>
        <w:tblInd w:w="0" w:type="dxa"/>
        <w:tblLayout w:type="fixed"/>
        <w:tblCellMar>
          <w:top w:w="0" w:type="dxa"/>
          <w:left w:w="108" w:type="dxa"/>
          <w:bottom w:w="0" w:type="dxa"/>
          <w:right w:w="108" w:type="dxa"/>
        </w:tblCellMar>
      </w:tblPr>
      <w:tblGrid>
        <w:gridCol w:w="4846"/>
        <w:gridCol w:w="4846"/>
      </w:tblGrid>
      <w:tr>
        <w:trPr/>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INDICADORES</w:t>
            </w:r>
          </w:p>
        </w:tc>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REQUERIDO</w:t>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b/>
                <w:color w:val="000000"/>
                <w:sz w:val="20"/>
                <w:szCs w:val="20"/>
              </w:rPr>
            </w:pPr>
            <w:r>
              <w:rPr>
                <w:rFonts w:cs="Arial Narrow" w:ascii="Arial Narrow" w:hAnsi="Arial Narrow"/>
                <w:b/>
                <w:color w:val="000000"/>
                <w:sz w:val="20"/>
                <w:szCs w:val="20"/>
              </w:rPr>
              <w:t>INDICADOR DE LIQUIDEZ:</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Narrow" w:ascii="Arial Narrow" w:hAnsi="Arial Narrow"/>
                <w:b/>
                <w:color w:val="000000"/>
                <w:sz w:val="20"/>
                <w:szCs w:val="20"/>
              </w:rPr>
              <w:t>ÍNDICE DE ENDEUDAMIENTO:</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Pasivo Total / Activo Total</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Narrow" w:ascii="Arial Narrow" w:hAnsi="Arial Narrow"/>
                <w:b/>
                <w:color w:val="000000"/>
                <w:sz w:val="20"/>
                <w:szCs w:val="20"/>
              </w:rPr>
              <w:t>RAZÓN DE COBERTURA DE INTERESES</w:t>
            </w:r>
          </w:p>
          <w:p>
            <w:pPr>
              <w:pStyle w:val="Normal"/>
              <w:jc w:val="both"/>
              <w:rPr>
                <w:rFonts w:ascii="Arial Narrow" w:hAnsi="Arial Narrow" w:cs="Arial Narrow"/>
                <w:b/>
                <w:color w:val="000000"/>
                <w:sz w:val="20"/>
                <w:szCs w:val="20"/>
                <w:u w:val="single"/>
              </w:rPr>
            </w:pPr>
            <w:r>
              <w:rPr>
                <w:rFonts w:cs="Arial Narrow" w:ascii="Arial Narrow" w:hAnsi="Arial Narrow"/>
                <w:color w:val="000000"/>
                <w:sz w:val="20"/>
                <w:szCs w:val="20"/>
              </w:rPr>
              <w:t>Utilidad operacional/gastos de interés</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Capital de Trabajo</w:t>
            </w:r>
          </w:p>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rPr>
            </w:pPr>
            <w:r>
              <w:rPr>
                <w:rFonts w:cs="Arial Narrow" w:ascii="Arial Narrow" w:hAnsi="Arial Narrow"/>
                <w:b/>
                <w:color w:val="000000"/>
                <w:sz w:val="20"/>
                <w:szCs w:val="20"/>
              </w:rPr>
            </w:r>
          </w:p>
        </w:tc>
      </w:tr>
    </w:tbl>
    <w:p>
      <w:pPr>
        <w:pStyle w:val="BodyText"/>
        <w:spacing w:before="0" w:after="0"/>
        <w:rPr>
          <w:rFonts w:ascii="Arial Narrow" w:hAnsi="Arial Narrow" w:cs="Arial Narrow"/>
          <w:color w:val="000000"/>
          <w:lang w:val="es-CO"/>
        </w:rPr>
      </w:pPr>
      <w:r>
        <w:rPr>
          <w:rFonts w:cs="Arial Narrow" w:ascii="Arial Narrow" w:hAnsi="Arial Narrow"/>
          <w:color w:val="000000"/>
          <w:lang w:val="es-CO"/>
        </w:rPr>
        <w:t>Los indicadores financieros requeridos fueron tomados en base al estudio del sector.</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Oferentes cuyos gastos de intereses sean cero (0), no podrán calcular el indicador de razón de cobertura de intereses. En este caso el Oferente cumple el indicador, salvo que su utilidad operacional sea negativa, caso en el cual no cumple con el indicador de razón de cobertura de intereses.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las propuestas en Consorcio, Unión Temporal u otra forma de asociación, se calculará los indicadores liquidez, endeudamiento y razón de cobertura de cada uno de sus integrantes, aplicando la fórmula correspondiente para cada indicador de acuerdo con la ponderación de los componentes de los indicadores de acuerdo con su porcentaje de participación. (Opción 1 prevista por Colombia compra eficiente en el Manual para determinar y fijar los criterios habilitantes, capitulo IV, cómo fijar los indicadores de capacidad financiera y de capacidad organizacional.)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el capital de trabajo se calculará sumando los capitales de trabajo de cada uno de los integrantes.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a) Balance general.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Heading1"/>
        <w:numPr>
          <w:ilvl w:val="0"/>
          <w:numId w:val="1"/>
        </w:numPr>
        <w:spacing w:lineRule="auto" w:line="240"/>
        <w:ind w:hanging="0" w:left="0"/>
        <w:rPr>
          <w:rFonts w:ascii="Arial Narrow" w:hAnsi="Arial Narrow" w:cs="Arial Narrow"/>
          <w:b w:val="false"/>
          <w:bCs w:val="false"/>
          <w:color w:val="000000"/>
          <w:sz w:val="24"/>
          <w:szCs w:val="24"/>
          <w:lang w:val="es-CO"/>
        </w:rPr>
      </w:pPr>
      <w:r>
        <w:rPr>
          <w:rFonts w:cs="Arial Narrow"/>
          <w:b w:val="false"/>
          <w:bCs w:val="false"/>
          <w:color w:val="000000"/>
          <w:sz w:val="24"/>
          <w:szCs w:val="24"/>
          <w:lang w:val="es-CO"/>
        </w:rPr>
      </w:r>
      <w:bookmarkStart w:id="26" w:name="_bookmark20"/>
      <w:bookmarkStart w:id="27" w:name="_bookmark20"/>
      <w:bookmarkEnd w:id="27"/>
    </w:p>
    <w:p>
      <w:pPr>
        <w:pStyle w:val="Heading1"/>
        <w:numPr>
          <w:ilvl w:val="0"/>
          <w:numId w:val="1"/>
        </w:numPr>
        <w:spacing w:lineRule="auto" w:line="240"/>
        <w:ind w:hanging="0" w:left="0"/>
        <w:rPr>
          <w:sz w:val="24"/>
          <w:szCs w:val="24"/>
        </w:rPr>
      </w:pPr>
      <w:bookmarkStart w:id="28" w:name="__RefHeading___Toc482871761"/>
      <w:bookmarkEnd w:id="28"/>
      <w:r>
        <w:rPr>
          <w:sz w:val="24"/>
          <w:szCs w:val="24"/>
        </w:rPr>
        <w:t>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Para la capacidad organizacional el Proponente debe cumplir con los siguientes indicadores con base en la información contenida en el RUP. Teniendo en cuenta que este indicador mide la capacidad de generación de Utilidad Operacional por cada peso invertido en el Patrimonio. A mayor rentabilidad sobre el Patrimonio, mayor es la rentabilidad de los accionistas y por ende, mejor es la 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En ese orden de ideas, de la información reportada, se tiene que el sector de la construcción presenta un buen rendimiento de su patrimonio, generando de esta manera estabilidad y confianza en la adecuada ejecución de los proyectos que adelantan las empresas que pertenecen a este sector.</w:t>
      </w:r>
    </w:p>
    <w:p>
      <w:pPr>
        <w:pStyle w:val="BodyText"/>
        <w:spacing w:before="1" w:after="120"/>
        <w:jc w:val="center"/>
        <w:rPr/>
      </w:pPr>
      <w:r>
        <w:rPr/>
        <w:t>Tabla– Capacidad Organizacional</w:t>
      </w:r>
    </w:p>
    <w:tbl>
      <w:tblPr>
        <w:tblW w:w="6347" w:type="dxa"/>
        <w:jc w:val="left"/>
        <w:tblInd w:w="1437" w:type="dxa"/>
        <w:tblLayout w:type="fixed"/>
        <w:tblCellMar>
          <w:top w:w="0" w:type="dxa"/>
          <w:left w:w="5" w:type="dxa"/>
          <w:bottom w:w="0" w:type="dxa"/>
          <w:right w:w="5" w:type="dxa"/>
        </w:tblCellMar>
      </w:tblPr>
      <w:tblGrid>
        <w:gridCol w:w="3438"/>
        <w:gridCol w:w="2908"/>
      </w:tblGrid>
      <w:tr>
        <w:trPr>
          <w:trHeight w:val="264" w:hRule="exact"/>
        </w:trPr>
        <w:tc>
          <w:tcPr>
            <w:tcW w:w="343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943" w:right="0"/>
              <w:rPr>
                <w:rFonts w:ascii="Arial Narrow" w:hAnsi="Arial Narrow" w:cs="Arial Narrow"/>
                <w:b/>
                <w:sz w:val="24"/>
                <w:szCs w:val="24"/>
                <w:lang w:val="es-CO"/>
              </w:rPr>
            </w:pPr>
            <w:r>
              <w:rPr>
                <w:rFonts w:cs="Arial Narrow" w:ascii="Arial Narrow" w:hAnsi="Arial Narrow"/>
                <w:b/>
                <w:sz w:val="24"/>
                <w:szCs w:val="24"/>
                <w:lang w:val="es-CO"/>
              </w:rPr>
              <w:t>INDICADORES</w:t>
            </w:r>
          </w:p>
        </w:tc>
        <w:tc>
          <w:tcPr>
            <w:tcW w:w="290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586" w:right="585"/>
              <w:jc w:val="center"/>
              <w:rPr>
                <w:rFonts w:ascii="Arial Narrow" w:hAnsi="Arial Narrow" w:cs="Arial Narrow"/>
                <w:b/>
                <w:sz w:val="24"/>
                <w:szCs w:val="24"/>
                <w:lang w:val="es-CO"/>
              </w:rPr>
            </w:pPr>
            <w:r>
              <w:rPr>
                <w:rFonts w:cs="Arial Narrow" w:ascii="Arial Narrow" w:hAnsi="Arial Narrow"/>
                <w:b/>
                <w:sz w:val="24"/>
                <w:szCs w:val="24"/>
                <w:lang w:val="es-CO"/>
              </w:rPr>
              <w:t>REQUERIDOS</w:t>
            </w:r>
          </w:p>
        </w:tc>
      </w:tr>
      <w:tr>
        <w:trPr>
          <w:trHeight w:val="262"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patrimonio</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activos</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bl>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Si el Oferente es un consorcio, unión temporal o promesa de sociedad futura deben acreditar su capacidad organizacional ponderando cada uno de los componentes de los indicadores (rentabilidad sobre activos y rentabilidad sobre patrimonio) de cada miembro del Oferente plural, de acuerdo con su porcentaje de Participación.</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a) Balance general.</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
        </w:numPr>
        <w:ind w:hanging="0" w:left="0"/>
        <w:rPr/>
      </w:pPr>
      <w:bookmarkStart w:id="29" w:name="__RefHeading___Toc482871762"/>
      <w:bookmarkEnd w:id="29"/>
      <w:r>
        <w:rPr>
          <w:sz w:val="24"/>
          <w:szCs w:val="24"/>
        </w:rPr>
        <w:t>D. Información financiera para Proponentes extranjeros</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(i) Balance general </w:t>
      </w:r>
    </w:p>
    <w:p>
      <w:pPr>
        <w:pStyle w:val="Normal"/>
        <w:rPr>
          <w:rFonts w:ascii="Arial Narrow" w:hAnsi="Arial Narrow" w:cs="Arial"/>
          <w:bCs/>
          <w:color w:val="000000"/>
          <w:lang w:val="es-ES"/>
        </w:rPr>
      </w:pPr>
      <w:r>
        <w:rPr>
          <w:rFonts w:cs="Arial" w:ascii="Arial Narrow" w:hAnsi="Arial Narrow"/>
          <w:bCs/>
          <w:color w:val="000000"/>
          <w:lang w:val="es-ES"/>
        </w:rPr>
        <w:t xml:space="preserve">(ii) Estado de resultados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Los anteriores documentos también deben ser presentados utilizando el Plan Único de Cuentas para Colombia (PUC). </w:t>
      </w:r>
    </w:p>
    <w:p>
      <w:pPr>
        <w:pStyle w:val="Normal"/>
        <w:spacing w:lineRule="auto" w:line="276"/>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ind w:hanging="0" w:left="0"/>
        <w:rPr>
          <w:rFonts w:cs="Arial"/>
          <w:b w:val="false"/>
          <w:bCs w:val="false"/>
          <w:lang w:val="es-ES"/>
        </w:rPr>
      </w:pPr>
      <w:bookmarkStart w:id="30" w:name="__RefHeading___Toc482871763"/>
      <w:bookmarkEnd w:id="30"/>
      <w:r>
        <w:rPr>
          <w:sz w:val="24"/>
          <w:szCs w:val="24"/>
        </w:rPr>
        <w:t>VII. EVALUACIÓN DE LA OFERTA.</w:t>
      </w:r>
    </w:p>
    <w:p>
      <w:pPr>
        <w:pStyle w:val="Normal"/>
        <w:jc w:val="both"/>
        <w:rPr/>
      </w:pPr>
      <w:r>
        <w:rPr>
          <w:rFonts w:eastAsia="Arial Narrow" w:cs="Arial Narrow" w:ascii="Arial Narrow" w:hAnsi="Arial Narrow"/>
          <w:color w:val="000000"/>
        </w:rPr>
        <w:t xml:space="preserve"> </w:t>
      </w:r>
      <w:r>
        <w:rPr>
          <w:rFonts w:cs="Arial Narrow" w:ascii="Arial Narrow" w:hAnsi="Arial Narrow"/>
          <w:color w:val="000000"/>
          <w:lang w:eastAsia="en-US"/>
        </w:rPr>
        <w:t xml:space="preserve">El Instituto de Vivienda de Interés Social y Reforma Urbana del Municipio de Bucaramanga -  INVISBU, debe evaluar las Ofertas de los Proponentes que hayan acreditado los requisitos habilitantes de que trata la Sección correspondiente </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pPr>
      <w:r>
        <w:rPr>
          <w:rFonts w:cs="Arial Narrow" w:ascii="Arial Narrow" w:hAnsi="Arial Narrow"/>
          <w:color w:val="000000"/>
          <w:lang w:eastAsia="en-US"/>
        </w:rPr>
        <w:t>Para la evaluación el INVISBU ha estimado el otorgamiento a las propuestas técnicas, teniendo como puntaje máximo 1000 puntos, la oferta que alcance el mayor número de puntos ocupará el primer lugar en el orden de clasificación y por ende tendrá la primera opción para la elegibilidad mediante la apertura del sobre que contiene la propuesta económica.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Las ofertas deben presentarse en el anexo respectivo establecido en el presente Pliego de Condiciones como el formato para presentación de la oferta.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tbl>
      <w:tblPr>
        <w:tblW w:w="7257" w:type="dxa"/>
        <w:jc w:val="center"/>
        <w:tblInd w:w="0" w:type="dxa"/>
        <w:tblLayout w:type="fixed"/>
        <w:tblCellMar>
          <w:top w:w="0" w:type="dxa"/>
          <w:left w:w="108" w:type="dxa"/>
          <w:bottom w:w="0" w:type="dxa"/>
          <w:right w:w="108" w:type="dxa"/>
        </w:tblCellMar>
      </w:tblPr>
      <w:tblGrid>
        <w:gridCol w:w="4880"/>
        <w:gridCol w:w="2376"/>
      </w:tblGrid>
      <w:tr>
        <w:trPr>
          <w:trHeight w:val="280" w:hRule="atLeast"/>
        </w:trPr>
        <w:tc>
          <w:tcPr>
            <w:tcW w:w="4880"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CRITERIO DE EVALUACIÓN</w:t>
            </w:r>
          </w:p>
        </w:tc>
        <w:tc>
          <w:tcPr>
            <w:tcW w:w="2376"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PUNTAJE</w:t>
            </w:r>
          </w:p>
        </w:tc>
      </w:tr>
      <w:tr>
        <w:trPr>
          <w:trHeight w:val="280" w:hRule="atLeast"/>
        </w:trPr>
        <w:tc>
          <w:tcPr>
            <w:tcW w:w="488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w:bCs/>
                <w:color w:val="000000"/>
                <w:lang w:val="es-ES"/>
              </w:rPr>
            </w:pPr>
            <w:r>
              <w:rPr>
                <w:rFonts w:cs="Arial" w:ascii="Arial Narrow" w:hAnsi="Arial Narrow"/>
                <w:bCs/>
                <w:color w:val="000000"/>
                <w:lang w:val="es-ES"/>
              </w:rPr>
              <w:t>Factor experiencia específica del oferente.</w:t>
            </w:r>
          </w:p>
        </w:tc>
        <w:tc>
          <w:tcPr>
            <w:tcW w:w="23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Cs/>
                <w:color w:val="000000"/>
                <w:lang w:val="es-ES"/>
              </w:rPr>
            </w:pPr>
            <w:r>
              <w:rPr>
                <w:rFonts w:cs="Arial" w:ascii="Arial Narrow" w:hAnsi="Arial Narrow"/>
                <w:bCs/>
                <w:color w:val="000000"/>
                <w:lang w:val="es-ES"/>
              </w:rPr>
            </w:r>
          </w:p>
        </w:tc>
      </w:tr>
      <w:tr>
        <w:trPr>
          <w:trHeight w:val="280" w:hRule="atLeast"/>
        </w:trPr>
        <w:tc>
          <w:tcPr>
            <w:tcW w:w="488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w:bCs/>
                <w:color w:val="000000"/>
                <w:lang w:val="es-ES"/>
              </w:rPr>
            </w:pPr>
            <w:r>
              <w:rPr>
                <w:rFonts w:cs="Arial" w:ascii="Arial Narrow" w:hAnsi="Arial Narrow"/>
                <w:bCs/>
                <w:color w:val="000000"/>
                <w:lang w:val="es-ES"/>
              </w:rPr>
              <w:t>Experiencia de los profesionales del equipo de trabajo.</w:t>
            </w:r>
          </w:p>
        </w:tc>
        <w:tc>
          <w:tcPr>
            <w:tcW w:w="23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Cs/>
                <w:color w:val="000000"/>
                <w:lang w:val="es-ES"/>
              </w:rPr>
            </w:pPr>
            <w:r>
              <w:rPr>
                <w:rFonts w:cs="Arial" w:ascii="Arial Narrow" w:hAnsi="Arial Narrow"/>
                <w:bCs/>
                <w:color w:val="000000"/>
                <w:lang w:val="es-ES"/>
              </w:rPr>
            </w:r>
          </w:p>
        </w:tc>
      </w:tr>
      <w:tr>
        <w:trPr>
          <w:trHeight w:val="280" w:hRule="atLeast"/>
        </w:trPr>
        <w:tc>
          <w:tcPr>
            <w:tcW w:w="488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w:bCs/>
                <w:color w:val="000000"/>
                <w:lang w:val="es-ES"/>
              </w:rPr>
            </w:pPr>
            <w:r>
              <w:rPr>
                <w:rFonts w:cs="Arial" w:ascii="Arial Narrow" w:hAnsi="Arial Narrow"/>
                <w:bCs/>
                <w:color w:val="000000"/>
                <w:lang w:val="es-ES"/>
              </w:rPr>
              <w:t>Incentivo a la Industria Nacional</w:t>
            </w:r>
          </w:p>
        </w:tc>
        <w:tc>
          <w:tcPr>
            <w:tcW w:w="23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Cs/>
                <w:color w:val="000000"/>
                <w:lang w:val="es-ES"/>
              </w:rPr>
            </w:pPr>
            <w:r>
              <w:rPr>
                <w:rFonts w:cs="Arial" w:ascii="Arial Narrow" w:hAnsi="Arial Narrow"/>
                <w:bCs/>
                <w:color w:val="000000"/>
                <w:lang w:val="es-ES"/>
              </w:rPr>
            </w:r>
          </w:p>
        </w:tc>
      </w:tr>
      <w:tr>
        <w:trPr>
          <w:trHeight w:val="292" w:hRule="atLeast"/>
        </w:trPr>
        <w:tc>
          <w:tcPr>
            <w:tcW w:w="4880" w:type="dxa"/>
            <w:tcBorders>
              <w:top w:val="single" w:sz="4" w:space="0" w:color="000000"/>
              <w:left w:val="single" w:sz="4" w:space="0" w:color="000000"/>
              <w:bottom w:val="single" w:sz="4" w:space="0" w:color="000000"/>
              <w:right w:val="single" w:sz="4" w:space="0" w:color="000000"/>
            </w:tcBorders>
          </w:tcPr>
          <w:p>
            <w:pPr>
              <w:pStyle w:val="Normal"/>
              <w:jc w:val="right"/>
              <w:rPr>
                <w:rFonts w:ascii="Arial Narrow" w:hAnsi="Arial Narrow" w:cs="Arial"/>
                <w:b/>
                <w:bCs/>
                <w:color w:val="000000"/>
                <w:lang w:val="es-ES"/>
              </w:rPr>
            </w:pPr>
            <w:r>
              <w:rPr>
                <w:rFonts w:cs="Arial" w:ascii="Arial Narrow" w:hAnsi="Arial Narrow"/>
                <w:b/>
                <w:bCs/>
                <w:color w:val="000000"/>
                <w:lang w:val="es-ES"/>
              </w:rPr>
              <w:t>Total</w:t>
            </w:r>
          </w:p>
        </w:tc>
        <w:tc>
          <w:tcPr>
            <w:tcW w:w="23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w:b/>
                <w:bCs/>
                <w:color w:val="000000"/>
                <w:lang w:val="es-ES"/>
              </w:rPr>
            </w:pPr>
            <w:r>
              <w:rPr>
                <w:rFonts w:cs="Arial" w:ascii="Arial Narrow" w:hAnsi="Arial Narrow"/>
                <w:b/>
                <w:bCs/>
                <w:color w:val="000000"/>
                <w:lang w:val="es-ES"/>
              </w:rPr>
            </w:r>
          </w:p>
        </w:tc>
      </w:tr>
    </w:tbl>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Heading1"/>
        <w:numPr>
          <w:ilvl w:val="0"/>
          <w:numId w:val="16"/>
        </w:numPr>
        <w:rPr>
          <w:sz w:val="24"/>
          <w:szCs w:val="24"/>
          <w:lang w:eastAsia="en-US"/>
        </w:rPr>
      </w:pPr>
      <w:bookmarkStart w:id="31" w:name="__RefHeading___Toc482871764"/>
      <w:bookmarkEnd w:id="31"/>
      <w:r>
        <w:rPr>
          <w:sz w:val="24"/>
          <w:szCs w:val="24"/>
          <w:lang w:eastAsia="en-US"/>
        </w:rPr>
        <w:t xml:space="preserve">EVALUACIÓN Y PONDERACIÓN FACTOR EXPERIENCIA ESPECIFICA DEL OFERENTE: </w:t>
      </w:r>
    </w:p>
    <w:p>
      <w:pPr>
        <w:pStyle w:val="Normal"/>
        <w:jc w:val="both"/>
        <w:rPr>
          <w:rFonts w:ascii="Arial Narrow" w:hAnsi="Arial Narrow" w:cs="Arial Narrow"/>
          <w:color w:val="000000"/>
          <w:sz w:val="24"/>
          <w:szCs w:val="24"/>
          <w:lang w:eastAsia="en-US"/>
        </w:rPr>
      </w:pPr>
      <w:r>
        <w:rPr>
          <w:rFonts w:cs="Arial Narrow" w:ascii="Arial Narrow" w:hAnsi="Arial Narrow"/>
          <w:color w:val="000000"/>
          <w:sz w:val="24"/>
          <w:szCs w:val="24"/>
          <w:lang w:eastAsia="en-US"/>
        </w:rPr>
      </w:r>
    </w:p>
    <w:p>
      <w:pPr>
        <w:pStyle w:val="Normal"/>
        <w:ind w:left="34" w:right="0"/>
        <w:jc w:val="both"/>
        <w:rPr/>
      </w:pPr>
      <w:r>
        <w:rPr>
          <w:rFonts w:cs="Arial Narrow" w:ascii="Arial Narrow" w:hAnsi="Arial Narrow"/>
          <w:color w:val="000000"/>
          <w:lang w:eastAsia="en-US"/>
        </w:rPr>
        <w:t>El INVISBU, ha establecido una ponderación del XXXX por ciento (XXXXXX%) del total de la puntuación de la propuesta técnica, es decir XX (XXXXXX) puntos, al oferente que demuestre mediante la acreditación, su participación en contratos de primer orden celebrados con entidades estatales o gubernamentales o privadas.</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Además para el presente proceso de selección los proponentes acreditarán EXPERIENCIA a través de la información consignada en el certificado del Registro Único de Proponentes (Para persona naturales y jurídicas nacionales y extranjeras con domicilio en Colombia), relacionando, en el Anexo 4.1 la experiencia que pretendan hacer valer en el presente proceso, la cual debe corresponder a:</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Los contratos aportados para efectos de acreditación de experiencia deben encontrarse clasificados en el “Clasificador de Bienes, Obras y Servicios de las Naciones Unidas”, así:</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XXXXXXXXXX</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Si el contrato incumple cualquiera de los requisitos anteriores NO SERA tenido en cuenta para la evaluación.</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Los contratos para acreditar la experiencia (general y específica) podrán ser los mismos, siempre y cuando cumplan con las exigencias del pliego.</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Si la propuesta es presentada en Consorcio o Unión Temporal u otra forma asociativa, como proponente plural deberá cumplir con todas las condiciones anteriormente establecidas y al menos uno de los integrantes deberá acreditar uno cualquiera de los contratos requeridos con un valor igual o superior al TREINTA por ciento (30%) del valor total del presupuesto oficial expresado en SMMLV. De lo contrario la propuesta se calificará con cero por este concepto.</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b/>
          <w:color w:val="000000"/>
          <w:lang w:eastAsia="en-US"/>
        </w:rPr>
      </w:pPr>
      <w:r>
        <w:rPr>
          <w:rFonts w:cs="Arial Narrow" w:ascii="Arial Narrow" w:hAnsi="Arial Narrow"/>
          <w:b/>
          <w:color w:val="000000"/>
          <w:lang w:eastAsia="en-US"/>
        </w:rPr>
        <w:t>ASIGNACIÓN DE PUNTAJE POR FACTOR EXPERIENCIA ESPECÍFICA DEL OFERENTE:</w:t>
      </w:r>
    </w:p>
    <w:p>
      <w:pPr>
        <w:pStyle w:val="Normal"/>
        <w:ind w:left="34" w:right="0"/>
        <w:jc w:val="both"/>
        <w:rPr>
          <w:rFonts w:ascii="Arial Narrow" w:hAnsi="Arial Narrow" w:cs="Arial Narrow"/>
          <w:b/>
          <w:color w:val="000000"/>
          <w:lang w:eastAsia="en-US"/>
        </w:rPr>
      </w:pPr>
      <w:r>
        <w:rPr>
          <w:rFonts w:cs="Arial Narrow" w:ascii="Arial Narrow" w:hAnsi="Arial Narrow"/>
          <w:b/>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A continuación se presenta el procedimiento para la asignación de puntajes:</w:t>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Para la asignación de este puntaje se aplicará el redondeo a la milésima, es decir, máximo tres (3) decimales, así: cuando la diezmilésima sea igual o superior cinco (5) se redondeará (mediante la fórmula =Redondear (número; 3) de Excel), por exceso a la milésima siguiente y cuando la diezmilésima sea inferior a cinco (5) se redondeará (mediante la fórmula =Redondear (número; 3) de Excel) por defecto al número entero de la milésima.</w:t>
      </w:r>
    </w:p>
    <w:p>
      <w:pPr>
        <w:pStyle w:val="Normal"/>
        <w:ind w:left="744"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8"/>
        </w:numPr>
        <w:suppressAutoHyphens w:val="false"/>
        <w:ind w:hanging="34" w:left="34" w:right="0"/>
        <w:jc w:val="both"/>
        <w:rPr>
          <w:rFonts w:ascii="Arial Narrow" w:hAnsi="Arial Narrow" w:cs="Arial Narrow"/>
          <w:color w:val="000000"/>
          <w:lang w:eastAsia="en-US"/>
        </w:rPr>
      </w:pPr>
      <w:r>
        <w:rPr>
          <w:rFonts w:cs="Arial Narrow" w:ascii="Arial Narrow" w:hAnsi="Arial Narrow"/>
          <w:color w:val="000000"/>
          <w:lang w:eastAsia="en-US"/>
        </w:rPr>
        <w:t>Se establecerá el valor de la “Facturación Mensual Oficial”, dividiendo el valor del presupuesto oficial, incluido IVA, en SMMLV, entre el plazo de ejecución del contrato. (FMO)</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center"/>
        <w:rPr>
          <w:rFonts w:ascii="Arial Narrow" w:hAnsi="Arial Narrow" w:cs="Arial Narrow"/>
          <w:color w:val="000000"/>
          <w:lang w:eastAsia="en-US"/>
        </w:rPr>
      </w:pPr>
      <w:r>
        <w:rPr/>
        <w:drawing>
          <wp:inline distT="0" distB="0" distL="0" distR="0">
            <wp:extent cx="2943225" cy="118110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8"/>
                    <a:srcRect l="-24" t="-61" r="-24" b="-61"/>
                    <a:stretch>
                      <a:fillRect/>
                    </a:stretch>
                  </pic:blipFill>
                  <pic:spPr bwMode="auto">
                    <a:xfrm>
                      <a:off x="0" y="0"/>
                      <a:ext cx="2943225" cy="1181100"/>
                    </a:xfrm>
                    <a:prstGeom prst="rect">
                      <a:avLst/>
                    </a:prstGeom>
                    <a:noFill/>
                  </pic:spPr>
                </pic:pic>
              </a:graphicData>
            </a:graphic>
          </wp:inline>
        </w:drawing>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8"/>
        </w:numPr>
        <w:suppressAutoHyphens w:val="false"/>
        <w:ind w:hanging="0" w:left="34" w:right="0"/>
        <w:jc w:val="both"/>
        <w:rPr>
          <w:rFonts w:ascii="Arial Narrow" w:hAnsi="Arial Narrow" w:cs="Arial Narrow"/>
          <w:color w:val="000000"/>
          <w:lang w:eastAsia="en-US"/>
        </w:rPr>
      </w:pPr>
      <w:r>
        <w:rPr>
          <w:rFonts w:cs="Arial Narrow" w:ascii="Arial Narrow" w:hAnsi="Arial Narrow"/>
          <w:color w:val="000000"/>
          <w:lang w:eastAsia="en-US"/>
        </w:rPr>
        <w:t>Seguidamente SE DEFINIRÁ cual porcentaje del valor de la “Facturación Mensual  Oficial” (80% FMO ó 85% FMO ó 90% FMO) que se tendrá en cuenta para la asignación del máximo puntaje por experiencia en el presente proceso, mediante el siguiente procedimiento:</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ind w:left="34" w:right="0"/>
        <w:jc w:val="both"/>
        <w:rPr>
          <w:rFonts w:ascii="Arial Narrow" w:hAnsi="Arial Narrow" w:cs="Arial Narrow"/>
          <w:color w:val="000000"/>
          <w:lang w:eastAsia="en-US"/>
        </w:rPr>
      </w:pPr>
      <w:r>
        <w:rPr>
          <w:rFonts w:cs="Arial Narrow" w:ascii="Arial Narrow" w:hAnsi="Arial Narrow"/>
          <w:color w:val="000000"/>
          <w:lang w:eastAsia="en-US"/>
        </w:rPr>
        <w:t>a) El porcentaje se determinará de acuerdo con la variación de las dos cifras decimales de la Tasa de Cambio Representativa del Mercado (TRM), CALCULADA POR LA SUPERINTENDENCIA FINANCIERA DE COLOMBIA, VIGENTE PARA EL DÍA DE LA PUBLICACIÓN DEL INFORME DE EVALUACIÓN INDICADA EN EL CRONOGRAMA VIGENTE AL MOMENTO DEL CIERRE DEL PROCESO DE SELECCIÓN, como se describe a continuación: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b) Si las dos últimas cifras de la TRM varían entre 0 – 0.33:</w:t>
      </w:r>
    </w:p>
    <w:p>
      <w:pPr>
        <w:pStyle w:val="Normal"/>
        <w:jc w:val="both"/>
        <w:rPr>
          <w:rFonts w:ascii="Arial Narrow" w:hAnsi="Arial Narrow" w:cs="Arial Narrow"/>
          <w:color w:val="000000"/>
          <w:lang w:eastAsia="en-US"/>
        </w:rPr>
      </w:pPr>
      <w:r>
        <w:rPr>
          <w:rFonts w:cs="Arial Narrow" w:ascii="Arial Narrow" w:hAnsi="Arial Narrow"/>
          <w:color w:val="000000"/>
          <w:lang w:eastAsia="en-US"/>
        </w:rPr>
        <w:t>Se considerará el 80% del valor de la “Facturación Mensual Oficial”.</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c) Si las dos últimas cifras de la TRM varían entre 0.34 –0.66:</w:t>
      </w:r>
    </w:p>
    <w:p>
      <w:pPr>
        <w:pStyle w:val="Normal"/>
        <w:jc w:val="both"/>
        <w:rPr>
          <w:rFonts w:ascii="Arial Narrow" w:hAnsi="Arial Narrow" w:cs="Arial Narrow"/>
          <w:color w:val="000000"/>
          <w:lang w:eastAsia="en-US"/>
        </w:rPr>
      </w:pPr>
      <w:r>
        <w:rPr>
          <w:rFonts w:cs="Arial Narrow" w:ascii="Arial Narrow" w:hAnsi="Arial Narrow"/>
          <w:color w:val="000000"/>
          <w:lang w:eastAsia="en-US"/>
        </w:rPr>
        <w:t>Se considerará el 85% del valor de la “Facturación Mensual Oficial”.</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d) Si las dos últimas cifras de la TRM varían entre 0.67 – 0.99:</w:t>
      </w:r>
    </w:p>
    <w:p>
      <w:pPr>
        <w:pStyle w:val="Normal"/>
        <w:jc w:val="both"/>
        <w:rPr>
          <w:rFonts w:ascii="Arial Narrow" w:hAnsi="Arial Narrow" w:cs="Arial Narrow"/>
          <w:color w:val="000000"/>
          <w:lang w:eastAsia="en-US"/>
        </w:rPr>
      </w:pPr>
      <w:r>
        <w:rPr>
          <w:rFonts w:cs="Arial Narrow" w:ascii="Arial Narrow" w:hAnsi="Arial Narrow"/>
          <w:color w:val="000000"/>
          <w:lang w:eastAsia="en-US"/>
        </w:rPr>
        <w:t>Se considerará el 90% del valor de la “Facturación Mensual Oficial”.</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8"/>
        </w:numPr>
        <w:suppressAutoHyphens w:val="false"/>
        <w:ind w:hanging="0" w:left="34" w:right="0"/>
        <w:jc w:val="both"/>
        <w:rPr>
          <w:rFonts w:ascii="Arial Narrow" w:hAnsi="Arial Narrow" w:cs="Arial Narrow"/>
          <w:color w:val="000000"/>
          <w:lang w:eastAsia="en-US"/>
        </w:rPr>
      </w:pPr>
      <w:r>
        <w:rPr>
          <w:rFonts w:eastAsia="Arial Narrow" w:cs="Arial Narrow" w:ascii="Arial Narrow" w:hAnsi="Arial Narrow"/>
          <w:color w:val="000000"/>
          <w:lang w:eastAsia="en-US"/>
        </w:rPr>
        <w:t xml:space="preserve"> </w:t>
      </w:r>
      <w:r>
        <w:rPr>
          <w:rFonts w:cs="Arial Narrow" w:ascii="Arial Narrow" w:hAnsi="Arial Narrow"/>
          <w:color w:val="000000"/>
          <w:lang w:eastAsia="en-US"/>
        </w:rPr>
        <w:t>Calculo del periodo de ejecución de los contratos:</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El proponente deberá diligenciar en el Anexo de experiencia específica ponderable del pliego de condiciones con los datos allí indicados. Para calcular el periodo de ejecución de dichos contratos se realizará el siguiente procedimiento:</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12"/>
        </w:numPr>
        <w:suppressAutoHyphens w:val="false"/>
        <w:jc w:val="both"/>
        <w:rPr>
          <w:rFonts w:ascii="Arial Narrow" w:hAnsi="Arial Narrow" w:cs="Arial Narrow"/>
          <w:color w:val="000000"/>
          <w:lang w:eastAsia="en-US"/>
        </w:rPr>
      </w:pPr>
      <w:r>
        <w:rPr>
          <w:rFonts w:cs="Arial Narrow" w:ascii="Arial Narrow" w:hAnsi="Arial Narrow"/>
          <w:color w:val="000000"/>
          <w:lang w:eastAsia="en-US"/>
        </w:rPr>
        <w:t>Para efectos del cálculo del periodo de ejecución de los contratos acreditados y de los periodos de suspensión que hubieren tenido, se tomarán días calendario.</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12"/>
        </w:numPr>
        <w:suppressAutoHyphens w:val="false"/>
        <w:jc w:val="both"/>
        <w:rPr>
          <w:rFonts w:ascii="Arial Narrow" w:hAnsi="Arial Narrow" w:cs="Arial Narrow"/>
          <w:color w:val="000000"/>
          <w:lang w:eastAsia="en-US"/>
        </w:rPr>
      </w:pPr>
      <w:r>
        <w:rPr>
          <w:rFonts w:cs="Arial Narrow" w:ascii="Arial Narrow" w:hAnsi="Arial Narrow"/>
          <w:color w:val="000000"/>
          <w:lang w:eastAsia="en-US"/>
        </w:rPr>
        <w:t>Igualmente para efectos del cálculo del plazo de los contratos acreditados así como el tiempo de suspensión del contrato, cuando lo hubieren tenido, se tomarán los meses de 30 días y los años de 360 días.</w:t>
      </w:r>
    </w:p>
    <w:p>
      <w:pPr>
        <w:pStyle w:val="Normal"/>
        <w:ind w:left="720" w:right="0"/>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De acuerdo con lo anterior dichos plazos se calcularán mediante la siguiente fórmula: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center"/>
        <w:rPr>
          <w:rFonts w:ascii="Arial Narrow" w:hAnsi="Arial Narrow" w:cs="Arial Narrow"/>
          <w:color w:val="000000"/>
          <w:lang w:eastAsia="en-US"/>
        </w:rPr>
      </w:pPr>
      <w:r>
        <w:rPr/>
        <w:drawing>
          <wp:inline distT="0" distB="0" distL="0" distR="0">
            <wp:extent cx="3595370" cy="2505075"/>
            <wp:effectExtent l="0" t="0" r="0" b="0"/>
            <wp:docPr id="2" name="Imagen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7" descr=""/>
                    <pic:cNvPicPr>
                      <a:picLocks noChangeAspect="1" noChangeArrowheads="1"/>
                    </pic:cNvPicPr>
                  </pic:nvPicPr>
                  <pic:blipFill>
                    <a:blip r:embed="rId9"/>
                    <a:srcRect l="-16" t="-23" r="-16" b="-23"/>
                    <a:stretch>
                      <a:fillRect/>
                    </a:stretch>
                  </pic:blipFill>
                  <pic:spPr bwMode="auto">
                    <a:xfrm>
                      <a:off x="0" y="0"/>
                      <a:ext cx="3595370" cy="2505075"/>
                    </a:xfrm>
                    <a:prstGeom prst="rect">
                      <a:avLst/>
                    </a:prstGeom>
                    <a:noFill/>
                  </pic:spPr>
                </pic:pic>
              </a:graphicData>
            </a:graphic>
          </wp:inline>
        </w:drawing>
      </w:r>
    </w:p>
    <w:p>
      <w:pPr>
        <w:pStyle w:val="Normal"/>
        <w:jc w:val="both"/>
        <w:rPr>
          <w:rFonts w:ascii="Arial Narrow" w:hAnsi="Arial Narrow" w:cs="Arial Narrow"/>
          <w:color w:val="000000"/>
          <w:lang w:eastAsia="en-US"/>
        </w:rPr>
      </w:pPr>
      <w:r>
        <w:rPr>
          <w:rFonts w:cs="Arial Narrow" w:ascii="Arial Narrow" w:hAnsi="Arial Narrow"/>
          <w:color w:val="000000"/>
          <w:lang w:eastAsia="en-US"/>
        </w:rPr>
        <w:t>Para efectos de los cálculos y calificaciones que seguidamente se relacionan, los resultados y puntajes asignados serán redondeados (mediante la fórmula = Redondear (numero; 3) de Excel) por exceso o por defecto a la milésima, así: cuando la diezmilésima sea igual o superior a cinco (5) se redondeara por exceso a la milésima siguiente y cuando la diezmilésima sea inferior a cinco (5) se redondeara por defecto al número entero de la milésima: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 El cálculo de los plazos de cada uno de los contratos aportados validos</w:t>
      </w:r>
    </w:p>
    <w:p>
      <w:pPr>
        <w:pStyle w:val="Normal"/>
        <w:jc w:val="both"/>
        <w:rPr>
          <w:rFonts w:ascii="Arial Narrow" w:hAnsi="Arial Narrow" w:cs="Arial Narrow"/>
          <w:color w:val="000000"/>
          <w:lang w:eastAsia="en-US"/>
        </w:rPr>
      </w:pPr>
      <w:r>
        <w:rPr>
          <w:rFonts w:cs="Arial Narrow" w:ascii="Arial Narrow" w:hAnsi="Arial Narrow"/>
          <w:color w:val="000000"/>
          <w:lang w:eastAsia="en-US"/>
        </w:rPr>
        <w:t>* El cálculo del periodo de suspensión y/o la sumatoria de los periodos de suspensión, para cada uno de los contratos aportados válidos, cuando a ello haya habido lugar.</w:t>
      </w:r>
    </w:p>
    <w:p>
      <w:pPr>
        <w:pStyle w:val="Normal"/>
        <w:jc w:val="both"/>
        <w:rPr>
          <w:rFonts w:ascii="Arial Narrow" w:hAnsi="Arial Narrow" w:cs="Arial Narrow"/>
          <w:color w:val="000000"/>
          <w:lang w:eastAsia="en-US"/>
        </w:rPr>
      </w:pPr>
      <w:r>
        <w:rPr>
          <w:rFonts w:cs="Arial Narrow" w:ascii="Arial Narrow" w:hAnsi="Arial Narrow"/>
          <w:color w:val="000000"/>
          <w:lang w:eastAsia="en-US"/>
        </w:rPr>
        <w:t>* El cálculo del Promedio de Facturación Mensual (PFM) de cada uno de los contratos aportados válidos</w:t>
      </w:r>
    </w:p>
    <w:p>
      <w:pPr>
        <w:pStyle w:val="Normal"/>
        <w:jc w:val="both"/>
        <w:rPr>
          <w:rFonts w:ascii="Arial Narrow" w:hAnsi="Arial Narrow" w:cs="Arial Narrow"/>
          <w:color w:val="000000"/>
          <w:lang w:eastAsia="en-US"/>
        </w:rPr>
      </w:pPr>
      <w:r>
        <w:rPr>
          <w:rFonts w:cs="Arial Narrow" w:ascii="Arial Narrow" w:hAnsi="Arial Narrow"/>
          <w:color w:val="000000"/>
          <w:lang w:eastAsia="en-US"/>
        </w:rPr>
        <w:t>* La calificación de la experiencia especifica del proponente. Tiempo total de suspensión (EN CASO QUE APLIQUE).</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14"/>
        </w:numPr>
        <w:suppressAutoHyphens w:val="false"/>
        <w:jc w:val="both"/>
        <w:rPr>
          <w:rFonts w:ascii="Arial Narrow" w:hAnsi="Arial Narrow" w:cs="Arial Narrow"/>
          <w:color w:val="000000"/>
          <w:lang w:eastAsia="en-US"/>
        </w:rPr>
      </w:pPr>
      <w:r>
        <w:rPr>
          <w:rFonts w:cs="Arial Narrow" w:ascii="Arial Narrow" w:hAnsi="Arial Narrow"/>
          <w:color w:val="000000"/>
          <w:lang w:eastAsia="en-US"/>
        </w:rPr>
        <w:t>Debe Indicar día, mes y año, tanto de la fecha de inicio Como de la fecha de terminación del período de la suspensión.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t>(Se aplicará la formula prevista para tal fin en el presente pliego de condiciones)</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Ó</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14"/>
        </w:numPr>
        <w:suppressAutoHyphens w:val="false"/>
        <w:jc w:val="both"/>
        <w:rPr>
          <w:rFonts w:ascii="Arial Narrow" w:hAnsi="Arial Narrow" w:cs="Arial Narrow"/>
          <w:color w:val="000000"/>
          <w:lang w:eastAsia="en-US"/>
        </w:rPr>
      </w:pPr>
      <w:r>
        <w:rPr>
          <w:rFonts w:cs="Arial Narrow" w:ascii="Arial Narrow" w:hAnsi="Arial Narrow"/>
          <w:color w:val="000000"/>
          <w:lang w:eastAsia="en-US"/>
        </w:rPr>
        <w:t>Debe indicar el tiempo total (En días) del período de suspensión. (En este caso, se sumarán los días de la suspensión y se dividirá entre 30, para obtener el dato en meses)</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Ó</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14"/>
        </w:numPr>
        <w:suppressAutoHyphens w:val="false"/>
        <w:jc w:val="both"/>
        <w:rPr>
          <w:rFonts w:ascii="Arial Narrow" w:hAnsi="Arial Narrow" w:cs="Arial Narrow"/>
          <w:color w:val="000000"/>
          <w:lang w:eastAsia="en-US"/>
        </w:rPr>
      </w:pPr>
      <w:r>
        <w:rPr>
          <w:rFonts w:cs="Arial Narrow" w:ascii="Arial Narrow" w:hAnsi="Arial Narrow"/>
          <w:color w:val="000000"/>
          <w:lang w:eastAsia="en-US"/>
        </w:rPr>
        <w:t>Debe indicar el tiempo total (En meses) del período de suspensión.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pPr>
      <w:r>
        <w:rPr>
          <w:rFonts w:cs="Arial Narrow" w:ascii="Arial Narrow" w:hAnsi="Arial Narrow"/>
          <w:b/>
          <w:color w:val="000000"/>
          <w:lang w:eastAsia="en-US"/>
        </w:rPr>
        <w:t>NOTA 1:</w:t>
      </w:r>
      <w:r>
        <w:rPr>
          <w:rFonts w:cs="Arial Narrow" w:ascii="Arial Narrow" w:hAnsi="Arial Narrow"/>
          <w:color w:val="000000"/>
          <w:lang w:eastAsia="en-US"/>
        </w:rPr>
        <w:t xml:space="preserve"> En caso que los datos de las suspensiones se acrediten en días, meses y años de inicio y terminación; y adicionalmente en meses y/o en días, tendrán prioridad las fechas de iniciación y terminación de las mismas, para el cálculo de las suspensiones.</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pPr>
      <w:r>
        <w:rPr>
          <w:rFonts w:cs="Arial Narrow" w:ascii="Arial Narrow" w:hAnsi="Arial Narrow"/>
          <w:b/>
          <w:color w:val="000000"/>
          <w:lang w:eastAsia="en-US"/>
        </w:rPr>
        <w:t>NOTA 2:</w:t>
      </w:r>
      <w:r>
        <w:rPr>
          <w:rFonts w:cs="Arial Narrow" w:ascii="Arial Narrow" w:hAnsi="Arial Narrow"/>
          <w:color w:val="000000"/>
          <w:lang w:eastAsia="en-US"/>
        </w:rPr>
        <w:t xml:space="preserve"> Cuando no se indique la fecha de terminación de la suspensión, pero se indique la fecha de reanudación, o de reiniciación, o de levantamiento de la misma, se tomará como fecha de terminación de la suspensión, el día anterior a la reanudación o de reiniciación, o de levantamiento de la suspensión y se aplicará la fórmula descrita para tal fin en el presente pliego de condiciones.</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8"/>
        </w:numPr>
        <w:suppressAutoHyphens w:val="false"/>
        <w:jc w:val="both"/>
        <w:rPr>
          <w:rFonts w:ascii="Arial Narrow" w:hAnsi="Arial Narrow" w:cs="Arial Narrow"/>
          <w:color w:val="000000"/>
          <w:lang w:eastAsia="en-US"/>
        </w:rPr>
      </w:pPr>
      <w:r>
        <w:rPr>
          <w:rFonts w:cs="Arial Narrow" w:ascii="Arial Narrow" w:hAnsi="Arial Narrow"/>
          <w:color w:val="000000"/>
          <w:lang w:eastAsia="en-US"/>
        </w:rPr>
        <w:t>La Entidad procederá a determinar la “Facturación Mensual” de cada uno de los contratos aportados por cada proponente (mínimo 2 y máximo 5 contratos), dividiendo el valor del contrato terminado en SMMLV en el año de terminación de éste, entre el plazo de ejecución del mismo, determinado según el procedimiento anteriormente descrito.</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Seguidamente se calculará el valor promedio de facturación mensual de los contratos aportados por cada proponente, sumando las facturaciones mensuales de los contratos aportados y dividiendo dicha suma entre el número de contratos aportados. (PFMP)</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numPr>
          <w:ilvl w:val="0"/>
          <w:numId w:val="8"/>
        </w:numPr>
        <w:suppressAutoHyphens w:val="false"/>
        <w:jc w:val="both"/>
        <w:rPr>
          <w:rFonts w:ascii="Arial Narrow" w:hAnsi="Arial Narrow" w:cs="Arial Narrow"/>
          <w:color w:val="000000"/>
          <w:lang w:eastAsia="en-US"/>
        </w:rPr>
      </w:pPr>
      <w:r>
        <w:rPr>
          <w:rFonts w:cs="Arial Narrow" w:ascii="Arial Narrow" w:hAnsi="Arial Narrow"/>
          <w:color w:val="000000"/>
          <w:lang w:eastAsia="en-US"/>
        </w:rPr>
        <w:t>El puntaje se calculará mediante la siguiente fórmula: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center"/>
        <w:rPr>
          <w:rFonts w:ascii="Arial Narrow" w:hAnsi="Arial Narrow" w:cs="Arial Narrow"/>
          <w:color w:val="000000"/>
          <w:lang w:eastAsia="en-US"/>
        </w:rPr>
      </w:pPr>
      <w:r>
        <w:rPr/>
        <w:drawing>
          <wp:inline distT="0" distB="0" distL="0" distR="0">
            <wp:extent cx="3057525" cy="523875"/>
            <wp:effectExtent l="0" t="0" r="0" b="0"/>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0"/>
                    <a:srcRect l="-24" t="-137" r="-24" b="-137"/>
                    <a:stretch>
                      <a:fillRect/>
                    </a:stretch>
                  </pic:blipFill>
                  <pic:spPr bwMode="auto">
                    <a:xfrm>
                      <a:off x="0" y="0"/>
                      <a:ext cx="3057525" cy="523875"/>
                    </a:xfrm>
                    <a:prstGeom prst="rect">
                      <a:avLst/>
                    </a:prstGeom>
                    <a:noFill/>
                  </pic:spPr>
                </pic:pic>
              </a:graphicData>
            </a:graphic>
          </wp:inline>
        </w:drawing>
      </w:r>
    </w:p>
    <w:p>
      <w:pPr>
        <w:pStyle w:val="Normal"/>
        <w:jc w:val="both"/>
        <w:rPr>
          <w:rFonts w:ascii="Arial Narrow" w:hAnsi="Arial Narrow" w:cs="Arial Narrow"/>
          <w:color w:val="000000"/>
          <w:lang w:eastAsia="en-US"/>
        </w:rPr>
      </w:pPr>
      <w:r>
        <w:rPr>
          <w:rFonts w:cs="Arial Narrow" w:ascii="Arial Narrow" w:hAnsi="Arial Narrow"/>
          <w:color w:val="000000"/>
          <w:lang w:eastAsia="en-US"/>
        </w:rPr>
        <w:t>En donde:</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VPFM máxp : Valor del promedio de la facturación mensual del proponente que obtiene el máximo puntaje. Corresponde a la propuesta del proponente cuyo Valor Promedio de la Facturación Mensual, presenta la menor</w:t>
      </w:r>
    </w:p>
    <w:p>
      <w:pPr>
        <w:pStyle w:val="Normal"/>
        <w:jc w:val="both"/>
        <w:rPr>
          <w:rFonts w:ascii="Arial Narrow" w:hAnsi="Arial Narrow" w:cs="Arial Narrow"/>
          <w:color w:val="000000"/>
          <w:lang w:eastAsia="en-US"/>
        </w:rPr>
      </w:pPr>
      <w:r>
        <w:rPr>
          <w:rFonts w:cs="Arial Narrow" w:ascii="Arial Narrow" w:hAnsi="Arial Narrow"/>
          <w:color w:val="000000"/>
          <w:lang w:eastAsia="en-US"/>
        </w:rPr>
        <w:t>desviación en valor absoluto, con respecto a la Facturación Mensual Oficial afectada por el porcentaje que aplique para el presente proceso,  según la TCRM.</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PFMPi : Promedio de la facturación mensual del proponente en evaluación.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pPr>
      <w:r>
        <w:rPr>
          <w:rFonts w:cs="Arial" w:ascii="Arial" w:hAnsi="Arial"/>
          <w:color w:val="000000"/>
          <w:lang w:eastAsia="en-US"/>
        </w:rPr>
        <w:t>ǀ</w:t>
      </w:r>
      <w:r>
        <w:rPr>
          <w:rFonts w:cs="Arial Narrow" w:ascii="Arial Narrow" w:hAnsi="Arial Narrow"/>
          <w:color w:val="000000"/>
          <w:lang w:eastAsia="en-US"/>
        </w:rPr>
        <w:t xml:space="preserve"> VPFM máxp – PFMPi </w:t>
      </w:r>
      <w:r>
        <w:rPr>
          <w:rFonts w:cs="Arial" w:ascii="Arial" w:hAnsi="Arial"/>
          <w:color w:val="000000"/>
          <w:lang w:eastAsia="en-US"/>
        </w:rPr>
        <w:t>Ɩ</w:t>
      </w:r>
      <w:r>
        <w:rPr>
          <w:rFonts w:cs="Arial Narrow" w:ascii="Arial Narrow" w:hAnsi="Arial Narrow"/>
          <w:color w:val="000000"/>
          <w:lang w:eastAsia="en-US"/>
        </w:rPr>
        <w:t xml:space="preserve"> : Valor absoluto de la diferencia.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Nota: En todo caso el puntaje por concepto de Experiencia del Proponente, será máximo de quinientos (500) puntos y mínimo de cero (0) puntos.</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pPr>
      <w:r>
        <w:rPr>
          <w:rFonts w:cs="Arial Narrow" w:ascii="Arial Narrow" w:hAnsi="Arial Narrow"/>
          <w:color w:val="000000"/>
          <w:lang w:eastAsia="en-US"/>
        </w:rPr>
        <w:t>De acuerdo con lo estipulado en el Decreto 1082 de 2015, artículo 2.2.1.1.1.5.2, numeral 1.2 los contratos reportados en el RUP y mediante los cuales se pretenda acreditar la experiencia para el presente proceso serán contratos ejecutados.</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La experiencia del proponente deberá acreditarse mediante certificaciones expedidas por el respectivo contratante, o cualquier otro documento contractual hábil suscrito por funcionario competente de la Entidad contratante, que contenga como mínimo, la siguiente</w:t>
      </w:r>
    </w:p>
    <w:p>
      <w:pPr>
        <w:pStyle w:val="Normal"/>
        <w:jc w:val="both"/>
        <w:rPr>
          <w:rFonts w:ascii="Arial Narrow" w:hAnsi="Arial Narrow" w:cs="Arial Narrow"/>
          <w:color w:val="000000"/>
          <w:lang w:eastAsia="en-US"/>
        </w:rPr>
      </w:pPr>
      <w:r>
        <w:rPr>
          <w:rFonts w:cs="Arial Narrow" w:ascii="Arial Narrow" w:hAnsi="Arial Narrow"/>
          <w:color w:val="000000"/>
          <w:lang w:eastAsia="en-US"/>
        </w:rPr>
        <w:t>información: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Nombre del Contratista</w:t>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Número y objeto del contrato</w:t>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Valor ejecutado</w:t>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Plazo de ejecución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Fechas de iniciación y de terminación en formato día-mes-año, y porcentaje de participación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t>si el contrato fue ejecutado en Consorcio o Unión Temporal</w:t>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La información de contacto del contratante.</w:t>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Fechas de suspensión y reanudación, si a ello hubo lugar.</w:t>
      </w:r>
    </w:p>
    <w:p>
      <w:pPr>
        <w:pStyle w:val="Normal"/>
        <w:jc w:val="both"/>
        <w:rPr>
          <w:rFonts w:ascii="Arial Narrow" w:hAnsi="Arial Narrow" w:cs="Arial Narrow"/>
          <w:color w:val="000000"/>
          <w:lang w:eastAsia="en-US"/>
        </w:rPr>
      </w:pPr>
      <w:r>
        <w:rPr>
          <w:rFonts w:cs="Arial Narrow" w:ascii="Arial Narrow" w:hAnsi="Arial Narrow"/>
          <w:color w:val="000000"/>
          <w:lang w:eastAsia="en-US"/>
        </w:rPr>
        <w:t>•</w:t>
      </w:r>
      <w:r>
        <w:rPr>
          <w:rFonts w:eastAsia="Arial Narrow" w:cs="Arial Narrow" w:ascii="Arial Narrow" w:hAnsi="Arial Narrow"/>
          <w:color w:val="000000"/>
          <w:lang w:eastAsia="en-US"/>
        </w:rPr>
        <w:t xml:space="preserve"> </w:t>
      </w:r>
      <w:r>
        <w:rPr>
          <w:rFonts w:cs="Arial Narrow" w:ascii="Arial Narrow" w:hAnsi="Arial Narrow"/>
          <w:color w:val="000000"/>
          <w:lang w:eastAsia="en-US"/>
        </w:rPr>
        <w:t>Nombre y firma de la persona que expide la certificación.</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NOTA: La Entidad tomará de la certificación de cada contrato, solo los datos que le permitan verificar el cumplimiento de las actividades requeridas y lo concerniente a las fechas que indican el plazo del contrato y las suspensiones si a ello hubo lugar.</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Los datos correspondientes al valor de los contratos, se tomarán directamente del Registro Único de Proponentes RUP; por lo tanto en caso de discrepancias primará lo reportado en éste.</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En caso de que la certificación no incluya la descripción del alcance del proyecto, ésta se deberá acompañar de un documento contractual hábil suscrito por funcionario competente de la Entidad contratante, donde se pueda verificar claramente que el contrato</w:t>
      </w:r>
    </w:p>
    <w:p>
      <w:pPr>
        <w:pStyle w:val="Normal"/>
        <w:jc w:val="both"/>
        <w:rPr>
          <w:rFonts w:ascii="Arial Narrow" w:hAnsi="Arial Narrow" w:cs="Arial Narrow"/>
          <w:color w:val="000000"/>
          <w:lang w:eastAsia="en-US"/>
        </w:rPr>
      </w:pPr>
      <w:r>
        <w:rPr>
          <w:rFonts w:cs="Arial Narrow" w:ascii="Arial Narrow" w:hAnsi="Arial Narrow"/>
          <w:color w:val="000000"/>
          <w:lang w:eastAsia="en-US"/>
        </w:rPr>
        <w:t>que se aporta como experiencia, incluyó la ejecución de las actividades requeridas para poderlo tener en cuenta en la calificación de la experiencia.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Si los contratos aportados para verificar la experiencia fueron ejecutados bajo la modalidad de Consorcio o Unión Temporal u otra forma asociativa, deberá relacionar en el formato de experiencia correspondiente del pliego de condiciones, el porcentaje de participación del integrante en la ejecución del contrato que se quiera hacer valer dentro del proceso, y además dicho porcentaje de participación deberá venir especificado claramente en uno o algunos de los documentos que se establecen para efectos de acreditación de experiencia.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No se tendrán en cuenta para la evaluación aquellas certificaciones que no contengan la información que permita verificar el cumplimiento de los requisitos establecidos en este numeral.</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eastAsia="en-US"/>
        </w:rPr>
      </w:pPr>
      <w:r>
        <w:rPr>
          <w:rFonts w:cs="Arial Narrow" w:ascii="Arial Narrow" w:hAnsi="Arial Narrow"/>
          <w:color w:val="000000"/>
          <w:lang w:eastAsia="en-US"/>
        </w:rPr>
        <w:t>En el evento en que dos o más proponentes aporten una misma información y ésta presente inconsistencias, se solicitará la aclaración respectiva a cada uno de ellos y sólo se tendrá en cuenta aquella que esté demostrada.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Heading1"/>
        <w:numPr>
          <w:ilvl w:val="0"/>
          <w:numId w:val="16"/>
        </w:numPr>
        <w:jc w:val="both"/>
        <w:rPr>
          <w:lang w:eastAsia="en-US"/>
        </w:rPr>
      </w:pPr>
      <w:bookmarkStart w:id="32" w:name="__RefHeading___Toc482871765"/>
      <w:bookmarkEnd w:id="32"/>
      <w:r>
        <w:rPr>
          <w:sz w:val="24"/>
          <w:szCs w:val="24"/>
          <w:lang w:eastAsia="en-US"/>
        </w:rPr>
        <w:t>EVALUACIÓN Y PONDERACIÓN DE LOS PROFESIONALES DEL EQUIPO DE TRABAJO</w:t>
      </w:r>
    </w:p>
    <w:p>
      <w:pPr>
        <w:pStyle w:val="Normal"/>
        <w:jc w:val="both"/>
        <w:rPr>
          <w:rFonts w:ascii="Arial Narrow" w:hAnsi="Arial Narrow" w:cs="Arial Narrow"/>
          <w:color w:val="000000"/>
          <w:lang w:eastAsia="en-US"/>
        </w:rPr>
      </w:pPr>
      <w:r>
        <w:rPr>
          <w:rFonts w:cs="Arial Narrow" w:ascii="Arial Narrow" w:hAnsi="Arial Narrow"/>
          <w:color w:val="000000"/>
          <w:lang w:eastAsia="en-US"/>
        </w:rPr>
        <w:t>Los requerimientos técnicos habilitantes indican que el oferente debe contar con un equipo profesional mínimo que laborará en la ejecución de la Interventoría.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pPr>
      <w:r>
        <w:rPr>
          <w:rFonts w:cs="Arial Narrow" w:ascii="Arial Narrow" w:hAnsi="Arial Narrow"/>
          <w:color w:val="000000"/>
          <w:lang w:eastAsia="en-US"/>
        </w:rPr>
        <w:t>Para efectos de la ponderación la entidad ha determinado valorar algunos profesionales que ha denominado Equipo Profesional Ponderable, el cual deberá acreditar el proponente teniendo en cuenta sus calidades profesionales y su experiencia laboral. Para ellos el INVISBU le asigna una ponderación del XXXXpor ciento (XXXXXXX%) del total de la puntuación de la propuesta técnica, es decir XXXXXXX (XXXXX) puntos. La asignación del puntaje se realizará de la siguiente forma:</w:t>
      </w:r>
    </w:p>
    <w:p>
      <w:pPr>
        <w:pStyle w:val="Normal"/>
        <w:jc w:val="both"/>
        <w:rPr>
          <w:rFonts w:ascii="Arial Narrow" w:hAnsi="Arial Narrow" w:cs="Arial Narrow"/>
          <w:color w:val="000000"/>
          <w:lang w:eastAsia="en-US"/>
        </w:rPr>
      </w:pPr>
      <w:r>
        <w:rPr>
          <w:rFonts w:cs="Arial Narrow" w:ascii="Arial Narrow" w:hAnsi="Arial Narrow"/>
          <w:color w:val="000000"/>
          <w:lang w:eastAsia="en-US"/>
        </w:rPr>
      </w:r>
    </w:p>
    <w:tbl>
      <w:tblPr>
        <w:tblW w:w="6531" w:type="dxa"/>
        <w:jc w:val="left"/>
        <w:tblInd w:w="1326" w:type="dxa"/>
        <w:tblLayout w:type="fixed"/>
        <w:tblCellMar>
          <w:top w:w="0" w:type="dxa"/>
          <w:left w:w="5" w:type="dxa"/>
          <w:bottom w:w="0" w:type="dxa"/>
          <w:right w:w="5" w:type="dxa"/>
        </w:tblCellMar>
      </w:tblPr>
      <w:tblGrid>
        <w:gridCol w:w="4755"/>
        <w:gridCol w:w="1775"/>
      </w:tblGrid>
      <w:tr>
        <w:trPr>
          <w:trHeight w:val="262" w:hRule="exact"/>
        </w:trPr>
        <w:tc>
          <w:tcPr>
            <w:tcW w:w="4755"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299" w:right="299"/>
              <w:jc w:val="center"/>
              <w:rPr>
                <w:rFonts w:ascii="Arial Narrow" w:hAnsi="Arial Narrow" w:cs="Arial Narrow"/>
                <w:b/>
                <w:sz w:val="20"/>
                <w:szCs w:val="20"/>
              </w:rPr>
            </w:pPr>
            <w:r>
              <w:rPr>
                <w:rFonts w:cs="Arial Narrow" w:ascii="Arial Narrow" w:hAnsi="Arial Narrow"/>
                <w:b/>
                <w:sz w:val="20"/>
                <w:szCs w:val="20"/>
              </w:rPr>
              <w:t>EQUIPO PROFESIONAL PONDERABLE</w:t>
            </w:r>
          </w:p>
        </w:tc>
        <w:tc>
          <w:tcPr>
            <w:tcW w:w="1775"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349" w:right="350"/>
              <w:jc w:val="center"/>
              <w:rPr>
                <w:rFonts w:ascii="Arial Narrow" w:hAnsi="Arial Narrow" w:cs="Arial Narrow"/>
                <w:b/>
                <w:sz w:val="20"/>
                <w:szCs w:val="20"/>
              </w:rPr>
            </w:pPr>
            <w:r>
              <w:rPr>
                <w:rFonts w:cs="Arial Narrow" w:ascii="Arial Narrow" w:hAnsi="Arial Narrow"/>
                <w:b/>
                <w:sz w:val="20"/>
                <w:szCs w:val="20"/>
              </w:rPr>
              <w:t>PUNTAJE</w:t>
            </w:r>
          </w:p>
        </w:tc>
      </w:tr>
      <w:tr>
        <w:trPr>
          <w:trHeight w:val="264" w:hRule="exact"/>
        </w:trPr>
        <w:tc>
          <w:tcPr>
            <w:tcW w:w="475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299" w:right="299"/>
              <w:jc w:val="center"/>
              <w:rPr>
                <w:rFonts w:ascii="Arial Narrow" w:hAnsi="Arial Narrow" w:cs="Arial Narrow"/>
                <w:b/>
                <w:color w:val="000000"/>
                <w:sz w:val="20"/>
                <w:szCs w:val="20"/>
                <w:lang w:val="es-CO"/>
              </w:rPr>
            </w:pPr>
            <w:r>
              <w:rPr>
                <w:rFonts w:cs="Arial Narrow" w:ascii="Arial Narrow" w:hAnsi="Arial Narrow"/>
                <w:b/>
                <w:color w:val="000000"/>
                <w:sz w:val="20"/>
                <w:szCs w:val="20"/>
                <w:lang w:val="es-CO"/>
              </w:rPr>
            </w:r>
          </w:p>
        </w:tc>
        <w:tc>
          <w:tcPr>
            <w:tcW w:w="177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349" w:right="349"/>
              <w:jc w:val="center"/>
              <w:rPr>
                <w:rFonts w:ascii="Arial Narrow" w:hAnsi="Arial Narrow" w:cs="Arial Narrow"/>
                <w:sz w:val="20"/>
                <w:szCs w:val="20"/>
                <w:lang w:val="es-CO"/>
              </w:rPr>
            </w:pPr>
            <w:r>
              <w:rPr>
                <w:rFonts w:cs="Arial Narrow" w:ascii="Arial Narrow" w:hAnsi="Arial Narrow"/>
                <w:sz w:val="20"/>
                <w:szCs w:val="20"/>
                <w:lang w:val="es-CO"/>
              </w:rPr>
            </w:r>
          </w:p>
        </w:tc>
      </w:tr>
      <w:tr>
        <w:trPr>
          <w:trHeight w:val="262" w:hRule="exact"/>
        </w:trPr>
        <w:tc>
          <w:tcPr>
            <w:tcW w:w="475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298" w:right="299"/>
              <w:jc w:val="center"/>
              <w:rPr>
                <w:rFonts w:ascii="Arial Narrow" w:hAnsi="Arial Narrow" w:cs="Arial Narrow"/>
                <w:color w:val="000000"/>
                <w:sz w:val="20"/>
                <w:szCs w:val="20"/>
              </w:rPr>
            </w:pPr>
            <w:r>
              <w:rPr>
                <w:rFonts w:cs="Arial Narrow" w:ascii="Arial Narrow" w:hAnsi="Arial Narrow"/>
                <w:color w:val="000000"/>
                <w:sz w:val="20"/>
                <w:szCs w:val="20"/>
              </w:rPr>
            </w:r>
          </w:p>
        </w:tc>
        <w:tc>
          <w:tcPr>
            <w:tcW w:w="177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349" w:right="349"/>
              <w:jc w:val="center"/>
              <w:rPr>
                <w:rFonts w:ascii="Arial Narrow" w:hAnsi="Arial Narrow" w:cs="Arial Narrow"/>
                <w:sz w:val="20"/>
                <w:szCs w:val="20"/>
              </w:rPr>
            </w:pPr>
            <w:r>
              <w:rPr>
                <w:rFonts w:cs="Arial Narrow" w:ascii="Arial Narrow" w:hAnsi="Arial Narrow"/>
                <w:sz w:val="20"/>
                <w:szCs w:val="20"/>
              </w:rPr>
            </w:r>
          </w:p>
        </w:tc>
      </w:tr>
      <w:tr>
        <w:trPr>
          <w:trHeight w:val="264" w:hRule="exact"/>
        </w:trPr>
        <w:tc>
          <w:tcPr>
            <w:tcW w:w="475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298" w:right="299"/>
              <w:jc w:val="center"/>
              <w:rPr>
                <w:rFonts w:ascii="Arial Narrow" w:hAnsi="Arial Narrow" w:cs="Arial Narrow"/>
                <w:b/>
                <w:sz w:val="20"/>
                <w:szCs w:val="20"/>
              </w:rPr>
            </w:pPr>
            <w:r>
              <w:rPr>
                <w:rFonts w:cs="Arial Narrow" w:ascii="Arial Narrow" w:hAnsi="Arial Narrow"/>
                <w:b/>
                <w:sz w:val="20"/>
                <w:szCs w:val="20"/>
              </w:rPr>
              <w:t>TOTAL PUNTAJE</w:t>
            </w:r>
          </w:p>
        </w:tc>
        <w:tc>
          <w:tcPr>
            <w:tcW w:w="177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349" w:right="349"/>
              <w:jc w:val="center"/>
              <w:rPr>
                <w:rFonts w:ascii="Arial Narrow" w:hAnsi="Arial Narrow" w:cs="Arial Narrow"/>
                <w:b/>
                <w:sz w:val="20"/>
                <w:szCs w:val="20"/>
              </w:rPr>
            </w:pPr>
            <w:r>
              <w:rPr>
                <w:rFonts w:cs="Arial Narrow" w:ascii="Arial Narrow" w:hAnsi="Arial Narrow"/>
                <w:b/>
                <w:sz w:val="20"/>
                <w:szCs w:val="20"/>
              </w:rPr>
            </w:r>
          </w:p>
        </w:tc>
      </w:tr>
    </w:tbl>
    <w:p>
      <w:pPr>
        <w:pStyle w:val="Normal"/>
        <w:jc w:val="both"/>
        <w:rPr>
          <w:rFonts w:ascii="Arial Narrow" w:hAnsi="Arial Narrow" w:cs="Arial Narrow"/>
          <w:color w:val="000000"/>
          <w:lang w:eastAsia="en-US"/>
        </w:rPr>
      </w:pPr>
      <w:r>
        <w:rPr>
          <w:rFonts w:cs="Arial Narrow" w:ascii="Arial Narrow" w:hAnsi="Arial Narrow"/>
          <w:color w:val="000000"/>
          <w:lang w:eastAsia="en-US"/>
        </w:rPr>
      </w:r>
    </w:p>
    <w:p>
      <w:pPr>
        <w:pStyle w:val="Normal"/>
        <w:jc w:val="both"/>
        <w:rPr>
          <w:rFonts w:ascii="Arial Narrow" w:hAnsi="Arial Narrow" w:cs="Arial Narrow"/>
          <w:color w:val="000000"/>
          <w:lang w:val="es-ES" w:eastAsia="en-US"/>
        </w:rPr>
      </w:pPr>
      <w:r>
        <w:rPr>
          <w:rFonts w:cs="Arial Narrow" w:ascii="Arial Narrow" w:hAnsi="Arial Narrow"/>
          <w:color w:val="000000"/>
          <w:lang w:val="es-ES" w:eastAsia="en-US"/>
        </w:rPr>
        <w:t>En el siguiente cuadro se presentan los criterios a ponderar del personal profesional de trabajo los cuales están basados en los objetivos trazados para esta interventoría. Para ser válidas las acreditaciones y por ende el otorgamiento de puntos las mismas deben llenar todos los requisitos señalados en el pliego de condiciones.</w:t>
      </w:r>
    </w:p>
    <w:p>
      <w:pPr>
        <w:pStyle w:val="Normal"/>
        <w:jc w:val="both"/>
        <w:rPr>
          <w:rFonts w:ascii="Arial Narrow" w:hAnsi="Arial Narrow" w:cs="Arial Narrow"/>
          <w:color w:val="000000"/>
          <w:lang w:val="es-ES" w:eastAsia="en-US"/>
        </w:rPr>
      </w:pPr>
      <w:r>
        <w:rPr>
          <w:rFonts w:cs="Arial Narrow" w:ascii="Arial Narrow" w:hAnsi="Arial Narrow"/>
          <w:color w:val="000000"/>
          <w:lang w:val="es-ES" w:eastAsia="en-US"/>
        </w:rPr>
      </w:r>
    </w:p>
    <w:p>
      <w:pPr>
        <w:pStyle w:val="Normal"/>
        <w:jc w:val="both"/>
        <w:rPr>
          <w:rFonts w:ascii="Arial Narrow" w:hAnsi="Arial Narrow" w:cs="Arial Narrow"/>
          <w:lang w:val="es-ES"/>
        </w:rPr>
      </w:pPr>
      <w:r>
        <w:rPr>
          <w:rFonts w:cs="Arial Narrow" w:ascii="Arial Narrow" w:hAnsi="Arial Narrow"/>
          <w:lang w:val="es-ES"/>
        </w:rPr>
      </w:r>
    </w:p>
    <w:p>
      <w:pPr>
        <w:pStyle w:val="Heading1"/>
        <w:numPr>
          <w:ilvl w:val="0"/>
          <w:numId w:val="16"/>
        </w:numPr>
        <w:rPr>
          <w:sz w:val="24"/>
          <w:szCs w:val="24"/>
        </w:rPr>
      </w:pPr>
      <w:bookmarkStart w:id="33" w:name="__RefHeading___Toc482871766"/>
      <w:bookmarkEnd w:id="33"/>
      <w:r>
        <w:rPr>
          <w:sz w:val="24"/>
          <w:szCs w:val="24"/>
        </w:rPr>
        <w:t>INCENTIVO A LA INDUSTRIA NACIONAL (100) PUNTOS</w:t>
      </w:r>
    </w:p>
    <w:p>
      <w:pPr>
        <w:pStyle w:val="Normal"/>
        <w:rPr>
          <w:sz w:val="24"/>
          <w:szCs w:val="24"/>
          <w:lang w:val="es-CO"/>
        </w:rPr>
      </w:pPr>
      <w:r>
        <w:rPr>
          <w:sz w:val="24"/>
          <w:szCs w:val="24"/>
          <w:lang w:val="es-CO"/>
        </w:rPr>
      </w:r>
    </w:p>
    <w:p>
      <w:pPr>
        <w:pStyle w:val="Normal"/>
        <w:jc w:val="both"/>
        <w:rPr>
          <w:rFonts w:ascii="Arial Narrow" w:hAnsi="Arial Narrow" w:cs="Arial Narrow"/>
          <w:bCs/>
          <w:color w:val="000000"/>
        </w:rPr>
      </w:pPr>
      <w:r>
        <w:rPr>
          <w:rFonts w:cs="Arial Narrow" w:ascii="Arial Narrow" w:hAnsi="Arial Narrow"/>
          <w:bCs/>
          <w:color w:val="000000"/>
        </w:rPr>
        <w:t>Para dar cumplimiento a lo mencionado en el Artículo 5 de la Ley 1150 de 2007 y dando cumplimiento a lo establecido en la Ley 816 del 7 de julio de 2003, con el fin de apoyar la Industria Nacional, para lo cual los Proponentes deberán anexar una comunicación en la cual propongan la procedencia, nacional o extranjera del personal que será puesto al servicio en la ejecución del contrato. La no presentación de la información requerida no restringe la participación del Proponente, ni es causal de rechazo de la Oferta, sin embargo, por ser criterio de ponderación su no presentación no será subsanable.</w:t>
      </w:r>
    </w:p>
    <w:p>
      <w:pPr>
        <w:pStyle w:val="BodyText"/>
        <w:jc w:val="both"/>
        <w:rPr>
          <w:rFonts w:ascii="Arial Narrow" w:hAnsi="Arial Narrow" w:cs="Arial Narrow"/>
          <w:bCs/>
          <w:color w:val="000000"/>
        </w:rPr>
      </w:pPr>
      <w:r>
        <w:rPr>
          <w:rFonts w:cs="Arial Narrow" w:ascii="Arial Narrow" w:hAnsi="Arial Narrow"/>
          <w:bCs/>
          <w:color w:val="000000"/>
        </w:rPr>
        <w:t>En el caso de Consorcios o Uniones Temporales, el puntaje se asignará de acuerdo con el componente nacional o extranjero ofrecido conforme a lo indicado en este numeral. En caso que el proponente no oferte este criterio, obtendrá cero (0) puntos.</w:t>
      </w:r>
    </w:p>
    <w:tbl>
      <w:tblPr>
        <w:tblW w:w="8931" w:type="dxa"/>
        <w:jc w:val="center"/>
        <w:tblInd w:w="0" w:type="dxa"/>
        <w:tblLayout w:type="fixed"/>
        <w:tblCellMar>
          <w:top w:w="0" w:type="dxa"/>
          <w:left w:w="5" w:type="dxa"/>
          <w:bottom w:w="0" w:type="dxa"/>
          <w:right w:w="5" w:type="dxa"/>
        </w:tblCellMar>
      </w:tblPr>
      <w:tblGrid>
        <w:gridCol w:w="6945"/>
        <w:gridCol w:w="1985"/>
      </w:tblGrid>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2993" w:right="2995"/>
              <w:jc w:val="both"/>
              <w:rPr>
                <w:rFonts w:ascii="Arial Narrow" w:hAnsi="Arial Narrow" w:cs="Arial Narrow"/>
                <w:b/>
                <w:lang w:val="es-CO"/>
              </w:rPr>
            </w:pPr>
            <w:r>
              <w:rPr>
                <w:rFonts w:cs="Arial Narrow" w:ascii="Arial Narrow" w:hAnsi="Arial Narrow"/>
                <w:b/>
                <w:lang w:val="es-CO"/>
              </w:rPr>
              <w:t>CRITERIO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42" w:right="143"/>
              <w:jc w:val="both"/>
              <w:rPr>
                <w:rFonts w:ascii="Arial Narrow" w:hAnsi="Arial Narrow" w:cs="Arial Narrow"/>
                <w:b/>
                <w:lang w:val="es-CO"/>
              </w:rPr>
            </w:pPr>
            <w:r>
              <w:rPr>
                <w:rFonts w:cs="Arial Narrow" w:ascii="Arial Narrow" w:hAnsi="Arial Narrow"/>
                <w:b/>
                <w:lang w:val="es-CO"/>
              </w:rPr>
              <w:t>PUNTAJE</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102"/>
              <w:jc w:val="both"/>
              <w:rPr>
                <w:rFonts w:ascii="Arial Narrow" w:hAnsi="Arial Narrow" w:cs="Arial Narrow"/>
                <w:lang w:val="es-CO"/>
              </w:rPr>
            </w:pPr>
            <w:r>
              <w:rPr>
                <w:rFonts w:cs="Arial Narrow" w:ascii="Arial Narrow" w:hAnsi="Arial Narrow"/>
                <w:lang w:val="es-CO"/>
              </w:rPr>
              <w:t>Cuando el Proponente oferte servicios con personal 100% nacional, en lo correspondiente al objeto del presente proceso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hanging="260" w:left="549" w:right="275"/>
              <w:jc w:val="center"/>
              <w:rPr>
                <w:rFonts w:ascii="Arial Narrow" w:hAnsi="Arial Narrow" w:cs="Arial Narrow"/>
                <w:lang w:val="es-CO"/>
              </w:rPr>
            </w:pPr>
            <w:r>
              <w:rPr>
                <w:rFonts w:cs="Arial Narrow" w:ascii="Arial Narrow" w:hAnsi="Arial Narrow"/>
                <w:lang w:val="es-CO"/>
              </w:rPr>
              <w:t>100 PUNTOS</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95"/>
              <w:jc w:val="both"/>
              <w:rPr>
                <w:rFonts w:ascii="Arial Narrow" w:hAnsi="Arial Narrow" w:cs="Arial Narrow"/>
                <w:lang w:val="es-CO"/>
              </w:rPr>
            </w:pPr>
            <w:r>
              <w:rPr>
                <w:rFonts w:cs="Arial Narrow" w:ascii="Arial Narrow" w:hAnsi="Arial Narrow"/>
                <w:lang w:val="es-CO"/>
              </w:rPr>
              <w:t>Cuando el Proponente oferte servicios con personal nacional y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43" w:right="143"/>
              <w:jc w:val="center"/>
              <w:rPr>
                <w:rFonts w:ascii="Arial Narrow" w:hAnsi="Arial Narrow" w:cs="Arial Narrow"/>
                <w:lang w:val="es-CO"/>
              </w:rPr>
            </w:pPr>
            <w:r>
              <w:rPr>
                <w:rFonts w:cs="Arial Narrow" w:ascii="Arial Narrow" w:hAnsi="Arial Narrow"/>
                <w:lang w:val="es-CO"/>
              </w:rPr>
              <w:t>50 PUNTOS</w:t>
            </w:r>
          </w:p>
        </w:tc>
      </w:tr>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jc w:val="both"/>
              <w:rPr>
                <w:rFonts w:ascii="Arial Narrow" w:hAnsi="Arial Narrow" w:cs="Arial Narrow"/>
                <w:lang w:val="es-CO"/>
              </w:rPr>
            </w:pPr>
            <w:r>
              <w:rPr>
                <w:rFonts w:cs="Arial Narrow" w:ascii="Arial Narrow" w:hAnsi="Arial Narrow"/>
                <w:lang w:val="es-CO"/>
              </w:rPr>
              <w:t>Cuando el Proponente oferte servicios  con personal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right="141"/>
              <w:jc w:val="center"/>
              <w:rPr>
                <w:rFonts w:ascii="Arial Narrow" w:hAnsi="Arial Narrow" w:cs="Arial Narrow"/>
                <w:lang w:val="es-CO"/>
              </w:rPr>
            </w:pPr>
            <w:r>
              <w:rPr>
                <w:rFonts w:cs="Arial Narrow" w:ascii="Arial Narrow" w:hAnsi="Arial Narrow"/>
                <w:lang w:val="es-CO"/>
              </w:rPr>
              <w:t>0 PUNTOS</w:t>
            </w:r>
          </w:p>
        </w:tc>
      </w:tr>
    </w:tbl>
    <w:p>
      <w:pPr>
        <w:pStyle w:val="Normal"/>
        <w:jc w:val="both"/>
        <w:rPr>
          <w:rFonts w:ascii="Arial Narrow" w:hAnsi="Arial Narrow" w:cs="Arial"/>
          <w:color w:val="000000"/>
          <w:lang w:val="es-ES"/>
        </w:rPr>
      </w:pPr>
      <w:r>
        <w:rPr>
          <w:rFonts w:cs="Arial" w:ascii="Arial Narrow" w:hAnsi="Arial Narrow"/>
          <w:color w:val="000000"/>
          <w:lang w:val="es-ES"/>
        </w:rPr>
      </w:r>
    </w:p>
    <w:p>
      <w:pPr>
        <w:pStyle w:val="Heading1"/>
        <w:numPr>
          <w:ilvl w:val="0"/>
          <w:numId w:val="1"/>
        </w:numPr>
        <w:ind w:hanging="0" w:left="0"/>
        <w:rPr/>
      </w:pPr>
      <w:bookmarkStart w:id="34" w:name="__RefHeading___Toc482871767"/>
      <w:bookmarkEnd w:id="34"/>
      <w:r>
        <w:rPr>
          <w:sz w:val="24"/>
          <w:szCs w:val="24"/>
          <w:lang w:val="es-ES"/>
        </w:rPr>
        <w:t xml:space="preserve">VIII. </w:t>
      </w:r>
      <w:r>
        <w:rPr>
          <w:sz w:val="24"/>
          <w:szCs w:val="24"/>
        </w:rPr>
        <w:t>EMPATE</w:t>
      </w:r>
    </w:p>
    <w:p>
      <w:pPr>
        <w:pStyle w:val="Normal"/>
        <w:jc w:val="both"/>
        <w:rPr/>
      </w:pPr>
      <w:r>
        <w:rPr>
          <w:rFonts w:cs="Arial Narrow" w:ascii="Arial Narrow" w:hAnsi="Arial Narrow"/>
          <w:bCs/>
          <w:color w:val="000000"/>
          <w:lang w:val="es-CO"/>
        </w:rPr>
        <w:t>En caso de empate en el puntaje total de dos o más Ofertas, el INSTITUTO DE VIVIENDA DE INTERÉS SOCIAL Y REFORMA URBANA DEL MUNICIPIO DE BUCARAMANGA</w:t>
      </w:r>
      <w:r>
        <w:rPr>
          <w:rFonts w:cs="Arial Narrow" w:ascii="Arial Narrow" w:hAnsi="Arial Narrow"/>
          <w:bCs/>
          <w:color w:val="000000"/>
        </w:rPr>
        <w:t>-INVISBU</w:t>
      </w:r>
      <w:r>
        <w:rPr>
          <w:rFonts w:cs="Arial Narrow" w:ascii="Arial Narrow" w:hAnsi="Arial Narrow"/>
          <w:bCs/>
          <w:color w:val="000000"/>
          <w:lang w:val="es-CO"/>
        </w:rPr>
        <w:t xml:space="preserve"> debe escoger al proponente aplicando los criterios de desempate previstos en el artículo 2.2.1.1.2.2.9 del Decreto 1082 de 2015. El primer factor de desempate es el mayor puntaje en el factor ECONÓMICO. Si persiste el empate, escogerá al oferente que tenga el mayor puntaje en el segundo de los factores de escogencia y calificación establecidos en los pliegos de condiciones del Proceso de Contratación técnico y así sucesivamente hasta agotar la totalidad de los factores de escogencia y calificación establecidos en los pliegos de condiciones.</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pPr>
      <w:r>
        <w:rPr>
          <w:rFonts w:cs="Arial Narrow" w:ascii="Arial Narrow" w:hAnsi="Arial Narrow"/>
          <w:bCs/>
          <w:color w:val="000000"/>
          <w:lang w:val="es-CO"/>
        </w:rPr>
        <w:t xml:space="preserve">En caso de empate en el puntaje total de dos o más Ofertas, el </w:t>
      </w:r>
      <w:r>
        <w:rPr>
          <w:rFonts w:cs="Arial Narrow" w:ascii="Arial Narrow" w:hAnsi="Arial Narrow"/>
          <w:bCs/>
          <w:color w:val="000000"/>
          <w:lang w:val="es-ES"/>
        </w:rPr>
        <w:t xml:space="preserve">INVISBU </w:t>
      </w:r>
      <w:r>
        <w:rPr>
          <w:rFonts w:cs="Arial Narrow" w:ascii="Arial Narrow" w:hAnsi="Arial Narrow"/>
          <w:bCs/>
          <w:color w:val="000000"/>
          <w:lang w:val="es-CO"/>
        </w:rPr>
        <w:t>debe escoger al proponente aplicando los criterios de desempate previstos en el artículo</w:t>
      </w:r>
      <w:r>
        <w:rPr>
          <w:rFonts w:cs="Arial Narrow" w:ascii="Arial Narrow" w:hAnsi="Arial Narrow"/>
          <w:bCs/>
          <w:color w:val="000000"/>
          <w:lang w:val="es-ES"/>
        </w:rPr>
        <w:t xml:space="preserve"> </w:t>
      </w:r>
      <w:r>
        <w:rPr>
          <w:rFonts w:cs="Arial Narrow" w:ascii="Arial Narrow" w:hAnsi="Arial Narrow"/>
          <w:bCs/>
          <w:color w:val="000000"/>
          <w:lang w:val="es-CO"/>
        </w:rPr>
        <w:t>2.2.1.1.2.2.9 del Decreto 1082 de 2015.</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4"/>
        </w:numPr>
        <w:jc w:val="both"/>
        <w:rPr>
          <w:rFonts w:ascii="Arial Narrow" w:hAnsi="Arial Narrow" w:cs="Arial Narrow"/>
          <w:bCs/>
          <w:color w:val="000000"/>
          <w:lang w:val="es-CO"/>
        </w:rPr>
      </w:pPr>
      <w:r>
        <w:rPr>
          <w:rFonts w:cs="Arial Narrow" w:ascii="Arial Narrow" w:hAnsi="Arial Narrow"/>
          <w:bCs/>
          <w:color w:val="000000"/>
          <w:lang w:val="es-CO"/>
        </w:rPr>
        <w:t>Preferir la oferta de servicios nacionales frente a la oferta de servicios extranjeros.</w:t>
      </w:r>
    </w:p>
    <w:p>
      <w:pPr>
        <w:pStyle w:val="Normal"/>
        <w:ind w:left="720" w:right="0"/>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4"/>
        </w:numPr>
        <w:jc w:val="both"/>
        <w:rPr>
          <w:rFonts w:ascii="Arial Narrow" w:hAnsi="Arial Narrow" w:cs="Arial Narrow"/>
          <w:bCs/>
          <w:color w:val="000000"/>
          <w:lang w:val="es-CO"/>
        </w:rPr>
      </w:pPr>
      <w:r>
        <w:rPr>
          <w:rFonts w:cs="Arial Narrow" w:ascii="Arial Narrow" w:hAnsi="Arial Narrow"/>
          <w:bCs/>
          <w:color w:val="000000"/>
          <w:lang w:val="es-CO"/>
        </w:rPr>
        <w:t>Preferir las ofertas presentada por una Mipymes nacional.</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4"/>
        </w:numPr>
        <w:jc w:val="both"/>
        <w:rPr>
          <w:rFonts w:ascii="Arial Narrow" w:hAnsi="Arial Narrow" w:cs="Arial Narrow"/>
          <w:bCs/>
          <w:color w:val="000000"/>
          <w:lang w:val="es-CO"/>
        </w:rPr>
      </w:pPr>
      <w:r>
        <w:rPr>
          <w:rFonts w:cs="Arial Narrow" w:ascii="Arial Narrow" w:hAnsi="Arial Narrow"/>
          <w:bCs/>
          <w:color w:val="000000"/>
          <w:lang w:val="es-CO"/>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Mipymes, ni sus accionistas, socios o representantes legales sean empleados, socios o accionistas de los miembros del Consorcio, Unión Temporal o promesa de sociedad futura.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4"/>
        </w:numPr>
        <w:jc w:val="both"/>
        <w:rPr>
          <w:rFonts w:ascii="Arial Narrow" w:hAnsi="Arial Narrow" w:cs="Arial Narrow"/>
          <w:bCs/>
          <w:color w:val="000000"/>
          <w:lang w:val="es-CO"/>
        </w:rPr>
      </w:pPr>
      <w:r>
        <w:rPr>
          <w:rFonts w:cs="Arial Narrow" w:ascii="Arial Narrow" w:hAnsi="Arial Narrow"/>
          <w:bCs/>
          <w:color w:val="000000"/>
          <w:lang w:val="es-CO"/>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4"/>
        </w:numPr>
        <w:jc w:val="both"/>
        <w:rPr>
          <w:rFonts w:ascii="Arial Narrow" w:hAnsi="Arial Narrow" w:cs="Arial Narrow"/>
          <w:bCs/>
          <w:color w:val="000000"/>
          <w:lang w:val="es-CO"/>
        </w:rPr>
      </w:pPr>
      <w:r>
        <w:rPr>
          <w:rFonts w:cs="Arial Narrow" w:ascii="Arial Narrow" w:hAnsi="Arial Narrow"/>
          <w:bCs/>
          <w:color w:val="000000"/>
          <w:lang w:val="es-CO"/>
        </w:rPr>
        <w:t>Utilizar un método aleatorio para seleccionar el oferente, método que deberá haber</w:t>
      </w:r>
      <w:r>
        <w:rPr>
          <w:rFonts w:cs="Arial Narrow" w:ascii="Arial Narrow" w:hAnsi="Arial Narrow"/>
          <w:bCs/>
          <w:color w:val="000000"/>
          <w:lang w:val="es-ES"/>
        </w:rPr>
        <w:t xml:space="preserve"> </w:t>
      </w:r>
      <w:r>
        <w:rPr>
          <w:rFonts w:cs="Arial Narrow" w:ascii="Arial Narrow" w:hAnsi="Arial Narrow"/>
          <w:bCs/>
          <w:color w:val="000000"/>
          <w:lang w:val="es-CO"/>
        </w:rPr>
        <w:t>sido previsto en los pliegos de condiciones del Proceso de Contratación.</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rFonts w:ascii="Arial Narrow" w:hAnsi="Arial Narrow" w:cs="Arial Narrow"/>
          <w:bCs/>
          <w:color w:val="000000"/>
          <w:lang w:val="es-CO"/>
        </w:rPr>
      </w:pPr>
      <w:r>
        <w:rPr>
          <w:rFonts w:cs="Arial Narrow" w:ascii="Arial Narrow" w:hAnsi="Arial Narrow"/>
          <w:bCs/>
          <w:color w:val="000000"/>
          <w:lang w:val="es-CO"/>
        </w:rPr>
        <w:t>Método aleatorio: Sorteo mediante balotas.</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Para efectuar el sorteo, se tendrán balotas numeradas del uno (1) al número de oferentes empatados, de las cuales cada representante de la persona jurídica empatada tomará una balota, leerá en voz alta el número, el cual será anotado en el acta y la persona seleccionada será aquella que tome la balota con el número mayor, de todos los participantes en el sorteo.</w:t>
      </w:r>
    </w:p>
    <w:p>
      <w:pPr>
        <w:pStyle w:val="Normal"/>
        <w:jc w:val="both"/>
        <w:rPr>
          <w:rFonts w:ascii="Arial Narrow" w:hAnsi="Arial Narrow" w:cs="Arial"/>
          <w:color w:val="000000"/>
          <w:lang w:val="es-ES" w:eastAsia="es-ES"/>
        </w:rPr>
      </w:pPr>
      <w:r>
        <w:rPr>
          <w:rFonts w:cs="Arial" w:ascii="Arial Narrow" w:hAnsi="Arial Narrow"/>
          <w:color w:val="000000"/>
          <w:lang w:val="es-ES" w:eastAsia="es-ES"/>
        </w:rPr>
      </w:r>
    </w:p>
    <w:p>
      <w:pPr>
        <w:pStyle w:val="Heading1"/>
        <w:numPr>
          <w:ilvl w:val="0"/>
          <w:numId w:val="1"/>
        </w:numPr>
        <w:ind w:hanging="0" w:left="0"/>
        <w:rPr>
          <w:sz w:val="24"/>
          <w:szCs w:val="24"/>
        </w:rPr>
      </w:pPr>
      <w:bookmarkStart w:id="35" w:name="__RefHeading___Toc482871768"/>
      <w:bookmarkEnd w:id="35"/>
      <w:r>
        <w:rPr>
          <w:sz w:val="24"/>
          <w:szCs w:val="24"/>
        </w:rPr>
        <w:t>OFERTAS ALTERNATIVAS</w:t>
      </w:r>
    </w:p>
    <w:p>
      <w:pPr>
        <w:pStyle w:val="Normal"/>
        <w:rPr>
          <w:rFonts w:ascii="Arial Narrow" w:hAnsi="Arial Narrow" w:cs="Arial"/>
          <w:bCs/>
          <w:color w:val="000000"/>
          <w:lang w:val="es-ES"/>
        </w:rPr>
      </w:pPr>
      <w:r>
        <w:rPr>
          <w:rFonts w:cs="Arial" w:ascii="Arial Narrow" w:hAnsi="Arial Narrow"/>
          <w:bCs/>
          <w:color w:val="000000"/>
          <w:lang w:val="es-ES"/>
        </w:rPr>
        <w:t>El INVISBU, No aceptará la presentación de propuestas parciales, condicionadas o alternativas, es decir el proponente deberá ofertar la totalidad de los bienes y servicios requeridos. Lo anterior hace referencia a que la propuesta deberá ser presentada en su totalidad de los requerimientos técnicos exigidos por la entidad.</w:t>
      </w:r>
    </w:p>
    <w:p>
      <w:pPr>
        <w:pStyle w:val="Normal"/>
        <w:rPr>
          <w:rFonts w:ascii="Arial Narrow" w:hAnsi="Arial Narrow" w:cs="Arial"/>
          <w:bCs/>
          <w:color w:val="000000"/>
          <w:lang w:val="es-ES"/>
        </w:rPr>
      </w:pPr>
      <w:r>
        <w:rPr>
          <w:rFonts w:cs="Arial" w:ascii="Arial Narrow" w:hAnsi="Arial Narrow"/>
          <w:bCs/>
          <w:color w:val="000000"/>
          <w:lang w:val="es-ES"/>
        </w:rPr>
      </w:r>
    </w:p>
    <w:p>
      <w:pPr>
        <w:pStyle w:val="Heading1"/>
        <w:numPr>
          <w:ilvl w:val="0"/>
          <w:numId w:val="1"/>
        </w:numPr>
        <w:ind w:hanging="0" w:left="0"/>
        <w:rPr>
          <w:sz w:val="24"/>
          <w:szCs w:val="24"/>
        </w:rPr>
      </w:pPr>
      <w:bookmarkStart w:id="36" w:name="__RefHeading___Toc482871769"/>
      <w:bookmarkEnd w:id="36"/>
      <w:r>
        <w:rPr>
          <w:sz w:val="24"/>
          <w:szCs w:val="24"/>
        </w:rPr>
        <w:t>DECLARATORIA DE DESIERTA</w:t>
      </w:r>
    </w:p>
    <w:p>
      <w:pPr>
        <w:pStyle w:val="Normal"/>
        <w:jc w:val="both"/>
        <w:rPr/>
      </w:pPr>
      <w:r>
        <w:rPr>
          <w:rFonts w:cs="Arial" w:ascii="Arial Narrow" w:hAnsi="Arial Narrow"/>
          <w:bCs/>
          <w:color w:val="000000"/>
          <w:lang w:val="es-ES"/>
        </w:rPr>
        <w:t xml:space="preserve">El Instituto de Vivienda de Interés Social y Reforma Urbana del Municipio de Bucaramanga – INVISBU, declarará desierto el presente proceso de selección cuando: (a) no se presenten Ofertas; (b) ninguna de las Ofertas resulte admisible en los factores jurídicos, técnicos, financieros y de experiencia previstos en el Pliego de Condiciones; (c) existan causas o motivos que impidan la escogencia objetiva del Proponente; (d) el representante legal del Instituto de Vivienda de Interés Social y Reforma Urbana del Municipio de Bucaramanga – INVISBU, o su delegado no acoja la recomendación del comité evaluador y opte por la declaratoria de desierta del proceso, caso en el cual deberá motivar su decisión; y (e) se presenten los demás casos contemplados en la ley. </w:t>
      </w:r>
    </w:p>
    <w:p>
      <w:pPr>
        <w:pStyle w:val="Heading1"/>
        <w:numPr>
          <w:ilvl w:val="0"/>
          <w:numId w:val="1"/>
        </w:numPr>
        <w:ind w:hanging="0" w:left="0"/>
        <w:rPr>
          <w:rFonts w:ascii="Arial Narrow" w:hAnsi="Arial Narrow" w:cs="Arial"/>
          <w:bCs w:val="false"/>
          <w:color w:val="000000"/>
          <w:sz w:val="24"/>
          <w:szCs w:val="24"/>
          <w:lang w:val="es-ES"/>
        </w:rPr>
      </w:pPr>
      <w:r>
        <w:rPr>
          <w:rFonts w:cs="Arial"/>
          <w:bCs w:val="false"/>
          <w:color w:val="000000"/>
          <w:sz w:val="24"/>
          <w:szCs w:val="24"/>
          <w:lang w:val="es-ES"/>
        </w:rPr>
      </w:r>
    </w:p>
    <w:p>
      <w:pPr>
        <w:pStyle w:val="Heading1"/>
        <w:numPr>
          <w:ilvl w:val="0"/>
          <w:numId w:val="1"/>
        </w:numPr>
        <w:ind w:hanging="0" w:left="0"/>
        <w:rPr>
          <w:sz w:val="24"/>
          <w:szCs w:val="24"/>
        </w:rPr>
      </w:pPr>
      <w:bookmarkStart w:id="37" w:name="__RefHeading___Toc482871770"/>
      <w:bookmarkEnd w:id="37"/>
      <w:r>
        <w:rPr>
          <w:sz w:val="24"/>
          <w:szCs w:val="24"/>
        </w:rPr>
        <w:t>RETIRO DE LA OFERTA</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Los Proponentes que opten por entregar su Oferta antes de la fecha de cierre del proceso de selección, podrán retirarlas, siempre y cuando la solicitud, efectuada mediante escrito, sea recibida por el Instituto de Vivienda de Interés Social y Reforma Urbana del Municipio de Bucaramanga – INVISBU, antes de la fecha y hora de cierre del presente proceso.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Cuando se trate de retiro definitivo, la Oferta le será devuelta al Proponente sin abrir, previa expedición de un recibo firmado por el solicitante.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ind w:hanging="0" w:left="0"/>
        <w:rPr>
          <w:sz w:val="24"/>
          <w:szCs w:val="24"/>
        </w:rPr>
      </w:pPr>
      <w:bookmarkStart w:id="38" w:name="__RefHeading___Toc482871771"/>
      <w:bookmarkEnd w:id="38"/>
      <w:r>
        <w:rPr>
          <w:sz w:val="24"/>
          <w:szCs w:val="24"/>
        </w:rPr>
        <w:t>DEVOLUCIÓN DE LAS OFERTAS</w:t>
      </w:r>
    </w:p>
    <w:p>
      <w:pPr>
        <w:pStyle w:val="Normal"/>
        <w:jc w:val="both"/>
        <w:rPr/>
      </w:pPr>
      <w:r>
        <w:rPr>
          <w:rFonts w:cs="Arial" w:ascii="Arial Narrow" w:hAnsi="Arial Narrow"/>
          <w:bCs/>
          <w:color w:val="000000"/>
          <w:lang w:val="es-ES"/>
        </w:rPr>
        <w:t xml:space="preserve">Una vez finalizado el proceso de selección los Proponentes no favorecidos con la adjudicación del contrato, podrán acercarse a reclamar el original de la garantía de seriedad de la Oferta y los demás documentos, dentro de los 15 días hábiles siguientes a la fecha en que se expida el acto de adjudicación, previsto en el Cronograma; de lo contrario, El Instituto de Vivienda de Interés Social y Reforma Urbana del Municipio de Bucaramanga – INVISBU, procederá al archivo de la Oferta original y la destrucción de su copia.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ind w:hanging="0" w:left="0"/>
        <w:rPr>
          <w:sz w:val="24"/>
          <w:szCs w:val="24"/>
        </w:rPr>
      </w:pPr>
      <w:bookmarkStart w:id="39" w:name="__RefHeading___Toc482871772"/>
      <w:bookmarkEnd w:id="39"/>
      <w:r>
        <w:rPr>
          <w:sz w:val="24"/>
          <w:szCs w:val="24"/>
        </w:rPr>
        <w:t>RECHAZO</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adición a otras causas previstas por la ley, El Instituto de Vivienda de Interés Social y Reforma Urbana del Municipio de Bucaramanga – INVISBU, rechazará las Ofertas presentadas por los Proponentes que: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a) Sean presentadas después de vencido el plazo establecido para el efecto en el Cronograma;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pPr>
      <w:r>
        <w:rPr>
          <w:rFonts w:cs="Arial Narrow" w:ascii="Arial Narrow" w:hAnsi="Arial Narrow"/>
          <w:color w:val="000000"/>
          <w:lang w:val="es-ES_tradnl" w:eastAsia="es-ES"/>
        </w:rPr>
        <w:t>b) Que no hayan cumplido el compromiso anticorrupción contenido en el Anexo 1 durante el Proceso de Contratación.</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c) Cuando las propuestas no se ajusten a las exigencias del pliego de condiciones a menos que hubiere posibilidad de saneamiento conforme a lo previsto en él mismo y en la Ley.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d) Cuando su presentación sea extemporánea, es decir, se presente luego de la fecha y hora fijadas para el cierre de concurso de méritos, o en lugar distinto al señalado;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e) Cuando el proponente se encuentre incurso en alguna de las causales de inhabilidad o incompatibilidad establecidas en la Ley 80 de 1993 y Ley 1150 de 2007, ley 1474 de 2011 (estatuto anticorrupción), Decreto 1082 de 2015 y en las disposiciones que se ocupen de esta materia.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f) Cuando la propuesta fuere presentada a nombre de persona jurídica, natural, consorcio o unión temporal diferente al proponente habilitado para presentar propuesta.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g) Cuando el oferente no tenga la capacidad para celebrar el contrato conforme a los parámetros establecidos en el pliego de condiciones, ni la capacidad para ofertar.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h) Las propuestas que contengan tachaduras o enmendaduras graves o presenten alteraciones e irregularidades que no permitan el análisis o estudio de las mismas, no convalidadas o certificadas con la firma de quien expide el documento.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i) Cuando existan varias propuestas presentadas por el mismo oferente bajo el mismo nombre o con nombres diferentes por sí o por interpuesta persona, para la misma convocatoria.</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eastAsia="Arial Narrow" w:cs="Arial Narrow" w:ascii="Arial Narrow" w:hAnsi="Arial Narrow"/>
          <w:color w:val="000000"/>
          <w:lang w:val="es-ES_tradnl" w:eastAsia="es-ES"/>
        </w:rPr>
        <w:t xml:space="preserve"> </w:t>
      </w:r>
      <w:r>
        <w:rPr>
          <w:rFonts w:cs="Arial Narrow" w:ascii="Arial Narrow" w:hAnsi="Arial Narrow"/>
          <w:color w:val="000000"/>
          <w:lang w:val="es-ES_tradnl" w:eastAsia="es-ES"/>
        </w:rPr>
        <w:t xml:space="preserve">j) La no presentación de oferta económica.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k) Cuando el proponente haya presentado información inexacta o incorrecta que genere mayor puntaje o le permita cumplir con un requisito mínimo.</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l) Cuando el proponente no aporte dentro del plazo requerido, los documentos que se le soliciten con la finalidad de aclarar, o precisar los documentos de la propuesta en la etapa de calificación de las mismas.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m) Cuando el proponente se encuentre en causal de disolución o liquidación a la fecha de cierre del presente proceso de selección.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n) Que el representante legal de la persona jurídica tenga limitaciones para comprometer a la sociedad y no subsane en el término concedido.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o) No corresponder el objeto social de las personas jurídicas con las actividades objeto del presente proceso.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p) No cumplir las personas jurídicas con la duración exigida al momento del cierre del presente proceso de selección.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q) No estar inscrito el proponente o los integrantes de la Estructura plural en el Registro Único de Proponentes, salvo las excepciones de Ley.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r) No presentar la garantía de seriedad de la Oferta de manera simultánea con la propuesta; se podrá subsanar siempre y cuando haya sido expedida antes del cierre del presente proceso de selección. </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s) Cuando los consorcios o uniones temporales no cumplan con las pautas señaladas para los mismos en los pliegos de condiciones.</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t) Cuando la propuesta contenga defectos no subsanables generadores de rechazo, según lo dispuesto en este pliego y en armonía con lo previsto en el parágrafo primero del Artículo 5 de la Ley 1150 de 2007, a pesar de no precisarse en el presente pliego.</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u) Cuando la propuesta sea incompleta o parcial, esto es, cuando no cumpla lo especificado o no incluya algún documento que, de acuerdo al pliego de condiciones se requiera adjuntar y dicha deficiencia impida la comparación objetiva con otras propuestas y no permita subsanarlo.</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v) Cuando se compruebe que la información suministrada por los proponentes sea contradictoria o no corresponda en algún aspecto a la verdad o sea artificiosamente incompleta.</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w) Las demás previstas en este pliego de condiciones y las que se encuentren establecidas en la normatividad vigente.</w:t>
      </w:r>
    </w:p>
    <w:p>
      <w:pPr>
        <w:pStyle w:val="Normal"/>
        <w:jc w:val="both"/>
        <w:rPr>
          <w:rFonts w:ascii="Arial Narrow" w:hAnsi="Arial Narrow" w:cs="Arial"/>
          <w:bCs/>
          <w:color w:val="000000"/>
          <w:lang w:val="es-ES_tradnl" w:eastAsia="es-ES"/>
        </w:rPr>
      </w:pPr>
      <w:r>
        <w:rPr>
          <w:rFonts w:cs="Arial" w:ascii="Arial Narrow" w:hAnsi="Arial Narrow"/>
          <w:bCs/>
          <w:color w:val="000000"/>
          <w:lang w:val="es-ES_tradnl" w:eastAsia="es-ES"/>
        </w:rPr>
      </w:r>
    </w:p>
    <w:p>
      <w:pPr>
        <w:pStyle w:val="Heading1"/>
        <w:numPr>
          <w:ilvl w:val="0"/>
          <w:numId w:val="1"/>
        </w:numPr>
        <w:spacing w:lineRule="auto" w:line="240"/>
        <w:ind w:hanging="0" w:left="0"/>
        <w:rPr>
          <w:sz w:val="24"/>
          <w:szCs w:val="24"/>
        </w:rPr>
      </w:pPr>
      <w:bookmarkStart w:id="40" w:name="__RefHeading___Toc482871773"/>
      <w:bookmarkEnd w:id="40"/>
      <w:r>
        <w:rPr>
          <w:sz w:val="24"/>
          <w:szCs w:val="24"/>
        </w:rPr>
        <w:t>IX. ACUERDOS COMERCIALES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w:b/>
          <w:bCs/>
          <w:color w:val="000000"/>
          <w:lang w:val="es-ES"/>
        </w:rPr>
      </w:pPr>
      <w:r>
        <w:rPr>
          <w:rFonts w:cs="Arial" w:ascii="Arial Narrow" w:hAnsi="Arial Narrow"/>
          <w:bCs/>
          <w:color w:val="000000"/>
          <w:lang w:val="es-ES"/>
        </w:rPr>
        <w:t>El Proceso de Contratación está sujeto a los siguientes Acuerdos Comerciales. En consecuencia las Ofertas de bienes y servicios de países con los cuales Colombia tiene Acuerdos Comerciales vigentes que cubren el presente Proceso de Contratación, serán tratados como Ofertas de bienes y servicios Colombianos y tendrán derecho al puntaje para estimular la industria nacional de que trata la sección VII C</w:t>
      </w:r>
      <w:r>
        <w:rPr>
          <w:rStyle w:val="FootnoteReference"/>
          <w:rFonts w:cs="Arial" w:ascii="Arial Narrow" w:hAnsi="Arial Narrow"/>
          <w:b/>
          <w:bCs/>
          <w:color w:val="000000"/>
          <w:lang w:val="es-ES"/>
        </w:rPr>
        <w:footnoteReference w:id="2"/>
      </w:r>
      <w:r>
        <w:rPr>
          <w:rFonts w:cs="Arial" w:ascii="Arial Narrow" w:hAnsi="Arial Narrow"/>
          <w:bCs/>
          <w:color w:val="000000"/>
          <w:lang w:val="es-ES"/>
        </w:rPr>
        <w:t>.</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sz w:val="24"/>
          <w:szCs w:val="24"/>
        </w:rPr>
      </w:pPr>
      <w:bookmarkStart w:id="41" w:name="__RefHeading___Toc482871774"/>
      <w:bookmarkEnd w:id="41"/>
      <w:r>
        <w:rPr>
          <w:sz w:val="24"/>
          <w:szCs w:val="24"/>
        </w:rPr>
        <w:t>X. ORDEN DE ELEGIBILIDAD Y ADJUDICACIÓN</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El Contrato se adjudicará en audiencia pública, según el orden de elegibilidad establecido en el informe de evaluación. El ordenador del gasto, por medio de acto administrativo motivado, adjudicará el proceso, módulo o módulos al Proponente ubicado en el primer puesto del orden de elegibilidad, y que cumpla con todos los requisitos exigidos en el presente pliego de condiciones o procederá a la declaratoria de desierta del proceso, módulo o módulos, si a ello hubiere lugar.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La audiencia pública se celebrará en la fecha y hora establecida en el Cronograma. De las circunstancias ocurridas en su desarrollo se dejará constancia en acta. </w:t>
      </w:r>
    </w:p>
    <w:p>
      <w:pPr>
        <w:pStyle w:val="Normal"/>
        <w:jc w:val="both"/>
        <w:rPr/>
      </w:pPr>
      <w:r>
        <w:rPr>
          <w:rFonts w:cs="Arial" w:ascii="Arial Narrow" w:hAnsi="Arial Narrow"/>
          <w:bCs/>
          <w:color w:val="000000"/>
          <w:lang w:val="es-ES"/>
        </w:rPr>
        <w:t xml:space="preserve">En el evento que la Directora del Instituto de Vivienda de Interés Social y Reforma Urbana del Municipio de Bucaramanga o su delegado no acoja la recomendación del comité evaluador, deberá justificarlo en el acto administrativo de adjudicación o declaratoria de desierta.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sz w:val="24"/>
          <w:szCs w:val="24"/>
        </w:rPr>
      </w:pPr>
      <w:bookmarkStart w:id="42" w:name="__RefHeading___Toc482871775"/>
      <w:bookmarkEnd w:id="42"/>
      <w:r>
        <w:rPr>
          <w:sz w:val="24"/>
          <w:szCs w:val="24"/>
        </w:rPr>
        <w:t>XI. GARANTÍAS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Heading1"/>
        <w:numPr>
          <w:ilvl w:val="0"/>
          <w:numId w:val="9"/>
        </w:numPr>
        <w:rPr>
          <w:sz w:val="24"/>
          <w:szCs w:val="24"/>
        </w:rPr>
      </w:pPr>
      <w:r>
        <w:rPr>
          <w:rFonts w:eastAsia="Arial Narrow"/>
          <w:sz w:val="24"/>
          <w:szCs w:val="24"/>
        </w:rPr>
        <w:t xml:space="preserve"> </w:t>
      </w:r>
      <w:bookmarkStart w:id="43" w:name="__RefHeading___Toc482871776"/>
      <w:r>
        <w:rPr>
          <w:sz w:val="24"/>
          <w:szCs w:val="24"/>
        </w:rPr>
        <w:t>Garantía de seriedad de la Oferta</w:t>
      </w:r>
      <w:bookmarkEnd w:id="43"/>
    </w:p>
    <w:p>
      <w:pPr>
        <w:pStyle w:val="Normal"/>
        <w:jc w:val="both"/>
        <w:rPr>
          <w:rFonts w:ascii="Arial Narrow" w:hAnsi="Arial Narrow" w:cs="Arial"/>
          <w:bCs/>
          <w:color w:val="000000"/>
          <w:sz w:val="24"/>
          <w:szCs w:val="24"/>
        </w:rPr>
      </w:pPr>
      <w:r>
        <w:rPr>
          <w:rFonts w:cs="Arial" w:ascii="Arial Narrow" w:hAnsi="Arial Narrow"/>
          <w:bCs/>
          <w:color w:val="000000"/>
          <w:sz w:val="24"/>
          <w:szCs w:val="24"/>
        </w:rPr>
      </w:r>
    </w:p>
    <w:p>
      <w:pPr>
        <w:pStyle w:val="pa39"/>
        <w:numPr>
          <w:ilvl w:val="0"/>
          <w:numId w:val="9"/>
        </w:numPr>
        <w:spacing w:before="0" w:after="0"/>
        <w:jc w:val="both"/>
        <w:rPr>
          <w:rFonts w:ascii="Arial Narrow" w:hAnsi="Arial Narrow" w:cs="Arial Narrow"/>
        </w:rPr>
      </w:pPr>
      <w:r>
        <w:rPr>
          <w:rFonts w:cs="Arial Narrow" w:ascii="Arial Narrow" w:hAnsi="Arial Narrow"/>
          <w:b/>
        </w:rPr>
        <w:t>CUMPLIMIENTO:</w:t>
      </w:r>
      <w:r>
        <w:rPr>
          <w:rFonts w:cs="Arial Narrow" w:ascii="Arial Narrow" w:hAnsi="Arial Narrow"/>
        </w:rPr>
        <w:t xml:space="preserve"> </w:t>
      </w:r>
    </w:p>
    <w:p>
      <w:pPr>
        <w:pStyle w:val="pa39"/>
        <w:numPr>
          <w:ilvl w:val="0"/>
          <w:numId w:val="9"/>
        </w:numPr>
        <w:spacing w:before="0" w:after="0"/>
        <w:jc w:val="both"/>
        <w:rPr>
          <w:rFonts w:ascii="Arial Narrow" w:hAnsi="Arial Narrow" w:cs="Arial Narrow"/>
        </w:rPr>
      </w:pPr>
      <w:r>
        <w:rPr>
          <w:rFonts w:cs="Arial Narrow" w:ascii="Arial Narrow" w:hAnsi="Arial Narrow"/>
          <w:b/>
        </w:rPr>
        <w:t>PAGO DE SALARIOS, PRESTACIONES SOCIALES LEGALES E INDEMNIZACIONES LABORALES.</w:t>
      </w:r>
      <w:r>
        <w:rPr>
          <w:rFonts w:cs="Arial Narrow" w:ascii="Arial Narrow" w:hAnsi="Arial Narrow"/>
        </w:rPr>
        <w:t xml:space="preserve"> </w:t>
      </w:r>
    </w:p>
    <w:p>
      <w:pPr>
        <w:pStyle w:val="pa39"/>
        <w:numPr>
          <w:ilvl w:val="0"/>
          <w:numId w:val="9"/>
        </w:numPr>
        <w:spacing w:before="0" w:after="0"/>
        <w:jc w:val="both"/>
        <w:rPr>
          <w:rFonts w:ascii="Arial Narrow" w:hAnsi="Arial Narrow" w:cs="Arial Narrow"/>
        </w:rPr>
      </w:pPr>
      <w:r>
        <w:rPr>
          <w:rFonts w:cs="Arial Narrow" w:ascii="Arial Narrow" w:hAnsi="Arial Narrow"/>
          <w:b/>
        </w:rPr>
        <w:t>CALIDAD DEL SERVICIO:</w:t>
      </w:r>
      <w:r>
        <w:rPr>
          <w:rFonts w:cs="Arial Narrow" w:ascii="Arial Narrow" w:hAnsi="Arial Narrow"/>
        </w:rPr>
        <w:t xml:space="preserve"> </w:t>
      </w:r>
    </w:p>
    <w:p>
      <w:pPr>
        <w:pStyle w:val="pa39"/>
        <w:spacing w:before="0" w:after="0"/>
        <w:jc w:val="both"/>
        <w:rPr>
          <w:rFonts w:ascii="Arial Narrow" w:hAnsi="Arial Narrow" w:cs="Arial Narrow"/>
        </w:rPr>
      </w:pPr>
      <w:r>
        <w:rPr>
          <w:rFonts w:cs="Arial Narrow" w:ascii="Arial Narrow" w:hAnsi="Arial Narrow"/>
        </w:rPr>
      </w:r>
    </w:p>
    <w:p>
      <w:pPr>
        <w:pStyle w:val="pa39"/>
        <w:spacing w:before="0" w:after="0"/>
        <w:jc w:val="both"/>
        <w:rPr>
          <w:rFonts w:ascii="Arial Narrow" w:hAnsi="Arial Narrow" w:cs="Arial Narrow"/>
        </w:rPr>
      </w:pPr>
      <w:r>
        <w:rPr>
          <w:rFonts w:cs="Arial Narrow" w:ascii="Arial Narrow" w:hAnsi="Arial Narrow"/>
        </w:rPr>
        <w:t xml:space="preserve">Las vigencias de todos los amparos deberán ajustarse a las fechas del acta de iniciación del contrato y del acta de terminación, o recibo final de la obra, o liquidación, según sea el caso. </w:t>
      </w:r>
    </w:p>
    <w:p>
      <w:pPr>
        <w:pStyle w:val="pa39"/>
        <w:spacing w:before="0" w:after="0"/>
        <w:jc w:val="both"/>
        <w:rPr>
          <w:rFonts w:ascii="Arial Narrow" w:hAnsi="Arial Narrow" w:cs="Arial Narrow"/>
        </w:rPr>
      </w:pPr>
      <w:r>
        <w:rPr>
          <w:rFonts w:cs="Arial Narrow" w:ascii="Arial Narrow" w:hAnsi="Arial Narrow"/>
        </w:rPr>
      </w:r>
    </w:p>
    <w:p>
      <w:pPr>
        <w:pStyle w:val="pa39"/>
        <w:spacing w:before="0" w:after="0"/>
        <w:jc w:val="both"/>
        <w:rPr>
          <w:rFonts w:ascii="Arial Narrow" w:hAnsi="Arial Narrow" w:cs="Arial Narrow"/>
        </w:rPr>
      </w:pPr>
      <w:r>
        <w:rPr>
          <w:rFonts w:cs="Arial Narrow" w:ascii="Arial Narrow" w:hAnsi="Arial Narrow"/>
        </w:rPr>
        <w:t xml:space="preserve">El hecho de la constitución de estos amparos no exonera al CONTRATISTA de las responsabilidades legales en relación con los riesgos asegurados. </w:t>
      </w:r>
    </w:p>
    <w:p>
      <w:pPr>
        <w:pStyle w:val="pa39"/>
        <w:spacing w:before="0" w:after="0"/>
        <w:jc w:val="both"/>
        <w:rPr>
          <w:rFonts w:ascii="Arial Narrow" w:hAnsi="Arial Narrow" w:cs="Arial Narrow"/>
        </w:rPr>
      </w:pPr>
      <w:r>
        <w:rPr>
          <w:rFonts w:cs="Arial Narrow" w:ascii="Arial Narrow" w:hAnsi="Arial Narrow"/>
        </w:rPr>
      </w:r>
    </w:p>
    <w:p>
      <w:pPr>
        <w:pStyle w:val="pa39"/>
        <w:spacing w:before="0" w:after="0"/>
        <w:jc w:val="both"/>
        <w:rPr>
          <w:rFonts w:ascii="Arial Narrow" w:hAnsi="Arial Narrow" w:cs="Arial Narrow"/>
        </w:rPr>
      </w:pPr>
      <w:r>
        <w:rPr>
          <w:rFonts w:cs="Arial Narrow" w:ascii="Arial Narrow" w:hAnsi="Arial Narrow"/>
        </w:rPr>
        <w:t>Dentro de los términos estipulados en este contrato, ninguno de los amparos otorgados podrá ser cancelado o modificado sin la autorización expresa del INVISBU. Como herramienta de mitigación de estos riesgos, además de la asignación de los mismos al contratista, se tiene establecido un esquema de pago por productos que garantiza que se cancelarán aquellos recibidos a satisfacción del contratante.</w:t>
      </w:r>
    </w:p>
    <w:p>
      <w:pPr>
        <w:pStyle w:val="pa39"/>
        <w:spacing w:before="0" w:after="0"/>
        <w:jc w:val="both"/>
        <w:rPr>
          <w:rFonts w:ascii="Arial Narrow" w:hAnsi="Arial Narrow" w:cs="Arial Narrow"/>
        </w:rPr>
      </w:pPr>
      <w:r>
        <w:rPr>
          <w:rFonts w:cs="Arial Narrow" w:ascii="Arial Narrow" w:hAnsi="Arial Narrow"/>
        </w:rPr>
      </w:r>
    </w:p>
    <w:p>
      <w:pPr>
        <w:pStyle w:val="Normal"/>
        <w:jc w:val="both"/>
        <w:rPr>
          <w:rFonts w:ascii="Arial Narrow" w:hAnsi="Arial Narrow" w:cs="Arial Narrow"/>
          <w:color w:val="000000"/>
        </w:rPr>
      </w:pPr>
      <w:r>
        <w:rPr>
          <w:rFonts w:cs="Arial Narrow" w:ascii="Arial Narrow" w:hAnsi="Arial Narrow"/>
          <w:color w:val="000000"/>
        </w:rPr>
        <w:t xml:space="preserve">El INVISBU tendrá la facultad de imponer multas de acuerdo con lo establecido en el contrato en caso de incumplimiento de las obligaciones a cargo del CONTRATISTA de conformidad con lo dispuesto por el Artículo 17 de la Ley 1150 de 2007, el Articulo 86 de la Ley 1474 de 2011 (Estatuto Anticorrupción) y el Decreto 1082 de 2015. Igualmente se incorporarán las cláusulas contractuales penal pecuniaria y de multas de acuerdo con la ley 1150 de 2007. </w:t>
      </w:r>
    </w:p>
    <w:p>
      <w:pPr>
        <w:pStyle w:val="Heading1"/>
        <w:numPr>
          <w:ilvl w:val="0"/>
          <w:numId w:val="1"/>
        </w:numPr>
        <w:spacing w:lineRule="auto" w:line="240"/>
        <w:ind w:hanging="0" w:left="0"/>
        <w:jc w:val="both"/>
        <w:rPr>
          <w:rFonts w:ascii="Arial Narrow" w:hAnsi="Arial Narrow" w:cs="Arial Narrow"/>
          <w:color w:val="000000"/>
          <w:sz w:val="24"/>
          <w:szCs w:val="24"/>
        </w:rPr>
      </w:pPr>
      <w:r>
        <w:rPr>
          <w:rFonts w:cs="Arial Narrow"/>
          <w:color w:val="000000"/>
          <w:sz w:val="24"/>
          <w:szCs w:val="24"/>
        </w:rPr>
      </w:r>
    </w:p>
    <w:p>
      <w:pPr>
        <w:pStyle w:val="Heading1"/>
        <w:numPr>
          <w:ilvl w:val="0"/>
          <w:numId w:val="1"/>
        </w:numPr>
        <w:spacing w:lineRule="auto" w:line="240"/>
        <w:ind w:hanging="0" w:left="0"/>
        <w:jc w:val="both"/>
        <w:rPr>
          <w:sz w:val="24"/>
          <w:szCs w:val="24"/>
        </w:rPr>
      </w:pPr>
      <w:bookmarkStart w:id="44" w:name="__RefHeading___Toc482871777"/>
      <w:bookmarkEnd w:id="44"/>
      <w:r>
        <w:rPr>
          <w:sz w:val="24"/>
          <w:szCs w:val="24"/>
        </w:rPr>
        <w:t>XII. INTERVENTORÍA Y/O SUPERVISIÓN</w:t>
      </w:r>
    </w:p>
    <w:p>
      <w:pPr>
        <w:pStyle w:val="Normal"/>
        <w:jc w:val="both"/>
        <w:rPr>
          <w:rFonts w:ascii="Arial Narrow" w:hAnsi="Arial Narrow" w:cs="Arial"/>
          <w:bCs/>
          <w:color w:val="000000"/>
          <w:sz w:val="24"/>
          <w:szCs w:val="24"/>
          <w:lang w:val="es-ES"/>
        </w:rPr>
      </w:pPr>
      <w:r>
        <w:rPr>
          <w:rFonts w:cs="Arial" w:ascii="Arial Narrow" w:hAnsi="Arial Narrow"/>
          <w:bCs/>
          <w:color w:val="000000"/>
          <w:sz w:val="24"/>
          <w:szCs w:val="24"/>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El INVISBU, ejercerá el control y la vigilancia de la ejecución de los trabajos a contratar, procederá conforme el art 83. De la Ley 1474 de 2011, sobre la supervisión e interventoría contractual.</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w:t>
      </w:r>
      <w:r>
        <w:rPr>
          <w:rFonts w:cs="Arial" w:ascii="Arial Narrow" w:hAnsi="Arial Narrow"/>
          <w:bCs/>
          <w:color w:val="000000"/>
          <w:lang w:val="es-ES"/>
        </w:rPr>
        <w:t xml:space="preserve">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La supervisión consistirá en el seguimiento técnico, administrativo, financiero, contable y jurídico que sobre el cumplimiento del objeto del contrato, es ejercida por la misma entidad estatal cuando no requieren conocimientos especializados.</w:t>
      </w:r>
    </w:p>
    <w:p>
      <w:pPr>
        <w:pStyle w:val="Normal"/>
        <w:jc w:val="both"/>
        <w:rPr/>
      </w:pPr>
      <w:r>
        <w:rPr>
          <w:rFonts w:cs="Arial" w:ascii="Arial Narrow" w:hAnsi="Arial Narrow"/>
          <w:bCs/>
          <w:color w:val="000000"/>
          <w:lang w:val="es-ES"/>
        </w:rPr>
        <w:t>Para la supervisión, la Entidad estatal podrá contratar personal de apoyo, a través de los contratos de prestación de servicios que sean requeridos. Por regla general, no serán concurrentes en relación con un mismo contrato, las funciones de supervisión e interventoría”.</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w:t>
      </w:r>
      <w:r>
        <w:rPr>
          <w:rFonts w:cs="Arial" w:ascii="Arial Narrow" w:hAnsi="Arial Narrow"/>
          <w:bCs/>
          <w:color w:val="000000"/>
          <w:lang w:val="es-ES"/>
        </w:rPr>
        <w:t>ARTÍCULO 84. FACULTADES Y DEBERES DE LOS SUPERVISORES Y LOS INTERVENTORES. La supervisión e interventoría contractual implica el seguimiento al ejercicio del cumplimiento obligacional por la entidad contratante sobre las obligaciones a cargo del contratista.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1"/>
        <w:numPr>
          <w:ilvl w:val="0"/>
          <w:numId w:val="1"/>
        </w:numPr>
        <w:ind w:hanging="0" w:left="0"/>
        <w:rPr/>
      </w:pPr>
      <w:bookmarkStart w:id="45" w:name="__RefHeading___Toc482871778"/>
      <w:bookmarkEnd w:id="45"/>
      <w:r>
        <w:rPr>
          <w:sz w:val="24"/>
          <w:szCs w:val="24"/>
        </w:rPr>
        <w:t>XI</w:t>
      </w:r>
      <w:r>
        <w:rPr>
          <w:sz w:val="24"/>
          <w:szCs w:val="24"/>
          <w:lang w:val="es-ES"/>
        </w:rPr>
        <w:t>I</w:t>
      </w:r>
      <w:r>
        <w:rPr>
          <w:sz w:val="24"/>
          <w:szCs w:val="24"/>
        </w:rPr>
        <w:t>I. OBLIGACIONES DEL CONTRATISTA</w:t>
      </w:r>
    </w:p>
    <w:p>
      <w:pPr>
        <w:pStyle w:val="Normal"/>
        <w:snapToGrid w:val="false"/>
        <w:jc w:val="both"/>
        <w:rPr>
          <w:rFonts w:ascii="Arial Narrow" w:hAnsi="Arial Narrow" w:cs="Arial"/>
          <w:b/>
          <w:bCs/>
          <w:color w:val="000000"/>
          <w:sz w:val="24"/>
          <w:szCs w:val="24"/>
        </w:rPr>
      </w:pPr>
      <w:r>
        <w:rPr>
          <w:rFonts w:cs="Arial" w:ascii="Arial Narrow" w:hAnsi="Arial Narrow"/>
          <w:b/>
          <w:bCs/>
          <w:color w:val="000000"/>
          <w:sz w:val="24"/>
          <w:szCs w:val="24"/>
        </w:rPr>
      </w:r>
    </w:p>
    <w:p>
      <w:pPr>
        <w:pStyle w:val="Heading1"/>
        <w:numPr>
          <w:ilvl w:val="0"/>
          <w:numId w:val="1"/>
        </w:numPr>
        <w:ind w:hanging="0" w:left="0"/>
        <w:jc w:val="both"/>
        <w:rPr>
          <w:sz w:val="24"/>
          <w:szCs w:val="24"/>
          <w:lang w:val="es-CO"/>
        </w:rPr>
      </w:pPr>
      <w:bookmarkStart w:id="46" w:name="__RefHeading___Toc482871779"/>
      <w:bookmarkEnd w:id="46"/>
      <w:r>
        <w:rPr>
          <w:sz w:val="24"/>
          <w:szCs w:val="24"/>
        </w:rPr>
        <w:t>OBLIGACIONES ESPECIFICAS: Se encuentra en documento Anexo denominado ESPECIFICACIONES TÉCNICAS</w:t>
      </w:r>
    </w:p>
    <w:p>
      <w:pPr>
        <w:pStyle w:val="Normal"/>
        <w:snapToGrid w:val="false"/>
        <w:jc w:val="both"/>
        <w:rPr>
          <w:rFonts w:ascii="Arial Narrow" w:hAnsi="Arial Narrow" w:cs="Arial"/>
          <w:bCs/>
          <w:color w:val="000000"/>
          <w:sz w:val="24"/>
          <w:szCs w:val="24"/>
          <w:lang w:val="es-CO"/>
        </w:rPr>
      </w:pPr>
      <w:r>
        <w:rPr>
          <w:rFonts w:cs="Arial" w:ascii="Arial Narrow" w:hAnsi="Arial Narrow"/>
          <w:bCs/>
          <w:color w:val="000000"/>
          <w:sz w:val="24"/>
          <w:szCs w:val="24"/>
          <w:lang w:val="es-CO"/>
        </w:rPr>
      </w:r>
    </w:p>
    <w:p>
      <w:pPr>
        <w:pStyle w:val="Heading1"/>
        <w:numPr>
          <w:ilvl w:val="0"/>
          <w:numId w:val="1"/>
        </w:numPr>
        <w:ind w:hanging="0" w:left="0"/>
        <w:rPr>
          <w:sz w:val="24"/>
          <w:szCs w:val="24"/>
        </w:rPr>
      </w:pPr>
      <w:bookmarkStart w:id="47" w:name="__RefHeading___Toc482871780"/>
      <w:bookmarkEnd w:id="47"/>
      <w:r>
        <w:rPr>
          <w:sz w:val="24"/>
          <w:szCs w:val="24"/>
        </w:rPr>
        <w:t xml:space="preserve">OBLIGACIONES DE LA ENTIDAD: </w:t>
      </w:r>
    </w:p>
    <w:p>
      <w:pPr>
        <w:pStyle w:val="Normal"/>
        <w:snapToGrid w:val="false"/>
        <w:jc w:val="both"/>
        <w:rPr>
          <w:rFonts w:ascii="Arial Narrow" w:hAnsi="Arial Narrow" w:cs="Arial"/>
          <w:bCs/>
          <w:color w:val="000000"/>
        </w:rPr>
      </w:pPr>
      <w:r>
        <w:rPr>
          <w:rFonts w:cs="Arial" w:ascii="Arial Narrow" w:hAnsi="Arial Narrow"/>
          <w:bCs/>
          <w:color w:val="000000"/>
        </w:rPr>
        <w:t>Además de las obligaciones y derechos contemplados en los artículos 4º y 5º de la ley 80 de 1993 y demás normas concordantes y los convenidos en el contrato, el contratante se obliga especialmente a: 1) Efectuar los registros y operaciones presupuestales y contables necesarios para cumplir cabalmente el pago de los servicios que el contratista haya prestado a ésta con base en el contrato.</w:t>
      </w:r>
    </w:p>
    <w:p>
      <w:pPr>
        <w:pStyle w:val="Normal"/>
        <w:jc w:val="both"/>
        <w:rPr>
          <w:rFonts w:ascii="Arial Narrow" w:hAnsi="Arial Narrow" w:cs="Arial Narrow"/>
          <w:bCs/>
          <w:color w:val="000000"/>
        </w:rPr>
      </w:pPr>
      <w:r>
        <w:rPr>
          <w:rFonts w:cs="Arial Narrow" w:ascii="Arial Narrow" w:hAnsi="Arial Narrow"/>
          <w:bCs/>
          <w:color w:val="000000"/>
        </w:rPr>
      </w:r>
    </w:p>
    <w:p>
      <w:pPr>
        <w:pStyle w:val="Heading1"/>
        <w:numPr>
          <w:ilvl w:val="0"/>
          <w:numId w:val="1"/>
        </w:numPr>
        <w:spacing w:lineRule="auto" w:line="240"/>
        <w:ind w:hanging="0" w:left="0"/>
        <w:rPr>
          <w:sz w:val="24"/>
          <w:szCs w:val="24"/>
        </w:rPr>
      </w:pPr>
      <w:bookmarkStart w:id="48" w:name="__RefHeading___Toc482871781"/>
      <w:bookmarkEnd w:id="48"/>
      <w:r>
        <w:rPr>
          <w:sz w:val="24"/>
          <w:szCs w:val="24"/>
          <w:lang w:val="es-ES"/>
        </w:rPr>
        <w:t xml:space="preserve">XIV. </w:t>
      </w:r>
      <w:r>
        <w:rPr>
          <w:sz w:val="24"/>
          <w:szCs w:val="24"/>
        </w:rPr>
        <w:t>CRONOGRAMA</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El siguiente es el Cronograma del Proceso de Contratación. </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Bucaramanga, XXXXXXXX</w:t>
      </w:r>
    </w:p>
    <w:p>
      <w:pPr>
        <w:pStyle w:val="Normal"/>
        <w:ind w:right="-850"/>
        <w:jc w:val="both"/>
        <w:rPr>
          <w:rFonts w:ascii="Arial Narrow" w:hAnsi="Arial Narrow" w:eastAsia="Helvetica" w:cs="Arial"/>
          <w:bCs/>
          <w:color w:val="000000"/>
          <w:lang w:val="es-ES"/>
        </w:rPr>
      </w:pPr>
      <w:r>
        <w:rPr>
          <w:rFonts w:eastAsia="Helvetica" w:cs="Arial" w:ascii="Arial Narrow" w:hAnsi="Arial Narrow"/>
          <w:bCs/>
          <w:color w:val="000000"/>
          <w:lang w:val="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t>AYCHEL PATRICIA MORALES SUESCUN</w:t>
      </w:r>
    </w:p>
    <w:p>
      <w:pPr>
        <w:pStyle w:val="Normal"/>
        <w:ind w:right="-850"/>
        <w:jc w:val="both"/>
        <w:rPr>
          <w:rFonts w:ascii="Arial Narrow" w:hAnsi="Arial Narrow" w:eastAsia="Helvetica" w:cs="Arial"/>
          <w:color w:val="000000"/>
        </w:rPr>
      </w:pPr>
      <w:r>
        <w:rPr>
          <w:rFonts w:eastAsia="Helvetica" w:cs="Arial" w:ascii="Arial Narrow" w:hAnsi="Arial Narrow"/>
          <w:b/>
          <w:color w:val="000000"/>
        </w:rPr>
        <w:t>Directora INVISBU</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tbl>
      <w:tblPr>
        <w:tblW w:w="8789" w:type="dxa"/>
        <w:jc w:val="left"/>
        <w:tblInd w:w="250" w:type="dxa"/>
        <w:tblLayout w:type="fixed"/>
        <w:tblCellMar>
          <w:top w:w="0" w:type="dxa"/>
          <w:left w:w="108" w:type="dxa"/>
          <w:bottom w:w="0" w:type="dxa"/>
          <w:right w:w="108" w:type="dxa"/>
        </w:tblCellMar>
      </w:tblPr>
      <w:tblGrid>
        <w:gridCol w:w="1559"/>
        <w:gridCol w:w="2700"/>
        <w:gridCol w:w="2570"/>
        <w:gridCol w:w="1959"/>
      </w:tblGrid>
      <w:tr>
        <w:trPr/>
        <w:tc>
          <w:tcPr>
            <w:tcW w:w="1559" w:type="dxa"/>
            <w:tcBorders>
              <w:top w:val="double" w:sz="4" w:space="0" w:color="000000"/>
              <w:left w:val="double" w:sz="4" w:space="0" w:color="000000"/>
              <w:bottom w:val="double" w:sz="4" w:space="0" w:color="000000"/>
              <w:right w:val="double" w:sz="4" w:space="0" w:color="000000"/>
            </w:tcBorders>
            <w:shd w:fill="D6E3BC" w:val="clear"/>
          </w:tcPr>
          <w:p>
            <w:pPr>
              <w:pStyle w:val="Normal"/>
              <w:snapToGrid w:val="false"/>
              <w:jc w:val="center"/>
              <w:rPr>
                <w:rFonts w:ascii="Arial Narrow" w:hAnsi="Arial Narrow" w:cs="Arial"/>
                <w:b/>
                <w:color w:val="000000"/>
                <w:sz w:val="14"/>
                <w:szCs w:val="14"/>
              </w:rPr>
            </w:pPr>
            <w:r>
              <w:rPr>
                <w:rFonts w:cs="Arial" w:ascii="Arial Narrow" w:hAnsi="Arial Narrow"/>
                <w:b/>
                <w:color w:val="000000"/>
                <w:sz w:val="14"/>
                <w:szCs w:val="14"/>
              </w:rPr>
            </w:r>
          </w:p>
        </w:tc>
        <w:tc>
          <w:tcPr>
            <w:tcW w:w="270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4"/>
                <w:szCs w:val="14"/>
              </w:rPr>
            </w:pPr>
            <w:r>
              <w:rPr>
                <w:rFonts w:cs="Arial" w:ascii="Arial Narrow" w:hAnsi="Arial Narrow"/>
                <w:b/>
                <w:color w:val="000000"/>
                <w:sz w:val="14"/>
                <w:szCs w:val="14"/>
              </w:rPr>
              <w:t>NOMBRE DEL FUNCIONARIO O CONTRATISTA</w:t>
            </w:r>
          </w:p>
        </w:tc>
        <w:tc>
          <w:tcPr>
            <w:tcW w:w="257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4"/>
                <w:szCs w:val="14"/>
              </w:rPr>
            </w:pPr>
            <w:r>
              <w:rPr>
                <w:rFonts w:cs="Arial" w:ascii="Arial Narrow" w:hAnsi="Arial Narrow"/>
                <w:b/>
                <w:color w:val="000000"/>
                <w:sz w:val="14"/>
                <w:szCs w:val="14"/>
              </w:rPr>
              <w:t>CARGO</w:t>
            </w:r>
          </w:p>
        </w:tc>
        <w:tc>
          <w:tcPr>
            <w:tcW w:w="1959"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4"/>
                <w:szCs w:val="14"/>
              </w:rPr>
            </w:pPr>
            <w:r>
              <w:rPr>
                <w:rFonts w:cs="Arial" w:ascii="Arial Narrow" w:hAnsi="Arial Narrow"/>
                <w:b/>
                <w:color w:val="000000"/>
                <w:sz w:val="14"/>
                <w:szCs w:val="14"/>
              </w:rPr>
              <w:t>FIRMA</w:t>
            </w:r>
          </w:p>
        </w:tc>
      </w:tr>
      <w:tr>
        <w:trPr/>
        <w:tc>
          <w:tcPr>
            <w:tcW w:w="1559"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4"/>
                <w:szCs w:val="14"/>
              </w:rPr>
            </w:pPr>
            <w:r>
              <w:rPr>
                <w:rFonts w:cs="Arial" w:ascii="Arial Narrow" w:hAnsi="Arial Narrow"/>
                <w:color w:val="000000"/>
                <w:sz w:val="14"/>
                <w:szCs w:val="14"/>
              </w:rPr>
              <w:t>Proyectó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1959"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r>
      <w:tr>
        <w:trPr/>
        <w:tc>
          <w:tcPr>
            <w:tcW w:w="1559"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4"/>
                <w:szCs w:val="14"/>
              </w:rPr>
            </w:pPr>
            <w:r>
              <w:rPr>
                <w:rFonts w:cs="Arial" w:ascii="Arial Narrow" w:hAnsi="Arial Narrow"/>
                <w:color w:val="000000"/>
                <w:sz w:val="14"/>
                <w:szCs w:val="14"/>
              </w:rPr>
              <w:t>Proyectó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1959"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r>
      <w:tr>
        <w:trPr/>
        <w:tc>
          <w:tcPr>
            <w:tcW w:w="1559"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4"/>
                <w:szCs w:val="14"/>
              </w:rPr>
            </w:pPr>
            <w:r>
              <w:rPr>
                <w:rFonts w:cs="Arial" w:ascii="Arial Narrow" w:hAnsi="Arial Narrow"/>
                <w:color w:val="000000"/>
                <w:sz w:val="14"/>
                <w:szCs w:val="14"/>
              </w:rPr>
              <w:t>Revisó y Aprobó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1959"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r>
      <w:tr>
        <w:trPr/>
        <w:tc>
          <w:tcPr>
            <w:tcW w:w="1559"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4"/>
                <w:szCs w:val="14"/>
              </w:rPr>
            </w:pPr>
            <w:r>
              <w:rPr>
                <w:rFonts w:cs="Arial" w:ascii="Arial Narrow" w:hAnsi="Arial Narrow"/>
                <w:color w:val="000000"/>
                <w:sz w:val="14"/>
                <w:szCs w:val="14"/>
              </w:rPr>
              <w:t>Revisó y Aprobó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1959"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r>
      <w:tr>
        <w:trPr/>
        <w:tc>
          <w:tcPr>
            <w:tcW w:w="1559"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4"/>
                <w:szCs w:val="14"/>
              </w:rPr>
            </w:pPr>
            <w:r>
              <w:rPr>
                <w:rFonts w:cs="Arial" w:ascii="Arial Narrow" w:hAnsi="Arial Narrow"/>
                <w:color w:val="000000"/>
                <w:sz w:val="14"/>
                <w:szCs w:val="14"/>
              </w:rPr>
              <w:t>Revisó y Aprobó Aspectos Financieros: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c>
          <w:tcPr>
            <w:tcW w:w="1959"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4"/>
                <w:szCs w:val="14"/>
              </w:rPr>
            </w:pPr>
            <w:r>
              <w:rPr>
                <w:rFonts w:cs="Arial" w:ascii="Arial Narrow" w:hAnsi="Arial Narrow"/>
                <w:color w:val="000000"/>
                <w:sz w:val="14"/>
                <w:szCs w:val="14"/>
              </w:rPr>
            </w:r>
          </w:p>
        </w:tc>
      </w:tr>
      <w:tr>
        <w:trPr/>
        <w:tc>
          <w:tcPr>
            <w:tcW w:w="8788" w:type="dxa"/>
            <w:gridSpan w:val="4"/>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4"/>
                <w:szCs w:val="14"/>
              </w:rPr>
            </w:pPr>
            <w:r>
              <w:rPr>
                <w:rFonts w:cs="Arial" w:ascii="Arial Narrow" w:hAnsi="Arial Narrow"/>
                <w:color w:val="000000"/>
                <w:sz w:val="14"/>
                <w:szCs w:val="14"/>
                <w:u w:val="single"/>
              </w:rPr>
              <w:t>Nota</w:t>
            </w:r>
            <w:r>
              <w:rPr>
                <w:rFonts w:cs="Arial" w:ascii="Arial Narrow" w:hAnsi="Arial Narrow"/>
                <w:color w:val="000000"/>
                <w:sz w:val="14"/>
                <w:szCs w:val="14"/>
              </w:rPr>
              <w:t>. Los firmantes declaramos que hemos suscrito el presente documento y lo encontramos ajustado a las normas y disposiciones legales vigentes dentro de cada una de nuestras competencias y por lo tanto lo presentamos para la firma.</w:t>
            </w:r>
          </w:p>
          <w:p>
            <w:pPr>
              <w:pStyle w:val="Normal"/>
              <w:rPr>
                <w:rFonts w:ascii="Arial Narrow" w:hAnsi="Arial Narrow" w:cs="Arial"/>
                <w:color w:val="000000"/>
                <w:sz w:val="14"/>
                <w:szCs w:val="14"/>
              </w:rPr>
            </w:pPr>
            <w:r>
              <w:rPr>
                <w:rFonts w:cs="Arial" w:ascii="Arial Narrow" w:hAnsi="Arial Narrow"/>
                <w:color w:val="000000"/>
                <w:sz w:val="14"/>
                <w:szCs w:val="14"/>
              </w:rPr>
            </w:r>
          </w:p>
        </w:tc>
      </w:tr>
    </w:tbl>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r>
        <w:rPr>
          <w:rFonts w:eastAsia="Helvetica"/>
          <w:sz w:val="24"/>
          <w:szCs w:val="24"/>
        </w:rPr>
      </w:r>
    </w:p>
    <w:p>
      <w:pPr>
        <w:pStyle w:val="Heading1"/>
        <w:numPr>
          <w:ilvl w:val="0"/>
          <w:numId w:val="1"/>
        </w:numPr>
        <w:ind w:hanging="0" w:left="0"/>
        <w:jc w:val="center"/>
        <w:rPr>
          <w:rFonts w:eastAsia="Helvetica"/>
          <w:sz w:val="24"/>
          <w:szCs w:val="24"/>
        </w:rPr>
      </w:pPr>
      <w:bookmarkStart w:id="49" w:name="__RefHeading___Toc482871782"/>
      <w:bookmarkEnd w:id="49"/>
      <w:r>
        <w:rPr>
          <w:rFonts w:eastAsia="Helvetica"/>
          <w:sz w:val="24"/>
          <w:szCs w:val="24"/>
        </w:rPr>
        <w:t>ANEXO 1 - COMPROMISO ANTICORRUPCIÓN</w:t>
      </w:r>
    </w:p>
    <w:p>
      <w:pPr>
        <w:pStyle w:val="Normal"/>
        <w:rPr>
          <w:rFonts w:eastAsia="Helvetica"/>
          <w:color w:val="000000"/>
          <w:sz w:val="24"/>
          <w:szCs w:val="24"/>
        </w:rPr>
      </w:pPr>
      <w:r>
        <w:rPr>
          <w:rFonts w:eastAsia="Helvetica"/>
          <w:color w:val="000000"/>
          <w:sz w:val="24"/>
          <w:szCs w:val="24"/>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850"/>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850"/>
        <w:jc w:val="both"/>
        <w:rPr>
          <w:rFonts w:ascii="Arial Narrow" w:hAnsi="Arial Narrow" w:eastAsia="Helvetica" w:cs="Arial"/>
          <w:color w:val="000000"/>
        </w:rPr>
      </w:pPr>
      <w:r>
        <w:rPr>
          <w:rFonts w:eastAsia="Helvetica" w:cs="Arial" w:ascii="Arial Narrow" w:hAnsi="Arial Narrow"/>
          <w:color w:val="000000"/>
        </w:rPr>
        <w:t>Proceso de Contratación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de][nombre del Proponente], manifiesto que:</w:t>
      </w:r>
    </w:p>
    <w:p>
      <w:pPr>
        <w:pStyle w:val="Normal"/>
        <w:ind w:right="-850"/>
        <w:jc w:val="both"/>
        <w:rPr>
          <w:rFonts w:ascii="Arial Narrow" w:hAnsi="Arial Narrow" w:eastAsia="Helvetica" w:cs="Arial"/>
          <w:color w:val="000000"/>
        </w:rPr>
      </w:pPr>
      <w:r>
        <w:rPr>
          <w:rFonts w:eastAsia="Helvetica" w:cs="Arial" w:ascii="Arial Narrow" w:hAnsi="Arial Narrow"/>
          <w:color w:val="000000"/>
        </w:rPr>
        <w:t>1. Apoyamos la acción del Estado colombiano y de [Nombre de la Entidad Estatal] para fortalecer la transparencia y la rendición de cuentas de la administración pública.</w:t>
      </w:r>
    </w:p>
    <w:p>
      <w:pPr>
        <w:pStyle w:val="Normal"/>
        <w:ind w:right="-850"/>
        <w:jc w:val="both"/>
        <w:rPr>
          <w:rFonts w:ascii="Arial Narrow" w:hAnsi="Arial Narrow" w:eastAsia="Helvetica" w:cs="Arial"/>
          <w:color w:val="000000"/>
        </w:rPr>
      </w:pPr>
      <w:r>
        <w:rPr>
          <w:rFonts w:eastAsia="Helvetica" w:cs="Arial" w:ascii="Arial Narrow" w:hAnsi="Arial Narrow"/>
          <w:color w:val="000000"/>
        </w:rPr>
        <w:t>2. No estamos en causal de inhabilidad ni incompatibilidad alguna para celebrar el contrato objeto del Proceso de Contratación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3. Nos comprometemos a no ofrecer y no dar dádivas, sobornos o cualquier forma de halago, retribuciones o prebenda a servidores públicos o asesores de la Entidad Contratante, directamente o a través de sus empleados, contratistas o tercero.</w:t>
      </w:r>
    </w:p>
    <w:p>
      <w:pPr>
        <w:pStyle w:val="Normal"/>
        <w:ind w:right="-850"/>
        <w:jc w:val="both"/>
        <w:rPr>
          <w:rFonts w:ascii="Arial Narrow" w:hAnsi="Arial Narrow" w:eastAsia="Helvetica" w:cs="Arial"/>
          <w:color w:val="000000"/>
        </w:rPr>
      </w:pPr>
      <w:r>
        <w:rPr>
          <w:rFonts w:eastAsia="Helvetica" w:cs="Arial" w:ascii="Arial Narrow" w:hAnsi="Arial Narrow"/>
          <w:color w:val="000000"/>
        </w:rPr>
        <w:t>4. Nos comprometemos a no efectuar acuerdos, o realizar actos o conductas que tengan por objeto o efecto la colusión en el Proceso de Contratación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5. Nos comprometemos a revelar la información que sobre el Proceso de Contratación [Insertar información] nos soliciten los organismos de control de la República de Colombia.</w:t>
      </w:r>
    </w:p>
    <w:p>
      <w:pPr>
        <w:pStyle w:val="Normal"/>
        <w:ind w:right="-850"/>
        <w:jc w:val="both"/>
        <w:rPr>
          <w:rFonts w:ascii="Arial Narrow" w:hAnsi="Arial Narrow" w:eastAsia="Helvetica" w:cs="Arial"/>
          <w:color w:val="000000"/>
        </w:rPr>
      </w:pPr>
      <w:r>
        <w:rPr>
          <w:rFonts w:eastAsia="Helvetica" w:cs="Arial" w:ascii="Arial Narrow" w:hAnsi="Arial Narrow"/>
          <w:color w:val="000000"/>
        </w:rPr>
        <w:t>6. Nos comprometemos a comunicar a nuestros empleados y asesores el contenido del presente Compromiso Anticorrupción, explicar su importancia y las consecuencias de su incumplimiento por nuestra parte, y la de nuestros empleados o asesores.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7. Conocemos las consecuencias derivadas del incumplimiento del presente compromiso anticorrupción.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En constancia de lo anterior firmo este documento a los [Insertar información] días del mes de [Insertar información] de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________________</w:t>
      </w:r>
    </w:p>
    <w:p>
      <w:pPr>
        <w:pStyle w:val="Normal"/>
        <w:ind w:right="-850"/>
        <w:jc w:val="both"/>
        <w:rPr>
          <w:rFonts w:ascii="Arial Narrow" w:hAnsi="Arial Narrow" w:eastAsia="Helvetica" w:cs="Arial"/>
          <w:color w:val="000000"/>
        </w:rPr>
      </w:pPr>
      <w:r>
        <w:rPr>
          <w:rFonts w:eastAsia="Helvetica" w:cs="Arial" w:ascii="Arial Narrow" w:hAnsi="Arial Narrow"/>
          <w:color w:val="000000"/>
        </w:rPr>
        <w:t>[Firma representante legal del Proponente o del Proponente persona natural]</w:t>
      </w:r>
    </w:p>
    <w:p>
      <w:pPr>
        <w:pStyle w:val="Normal"/>
        <w:ind w:right="-850"/>
        <w:jc w:val="both"/>
        <w:rPr>
          <w:rFonts w:ascii="Arial Narrow" w:hAnsi="Arial Narrow" w:eastAsia="Helvetica" w:cs="Arial"/>
          <w:color w:val="000000"/>
        </w:rPr>
      </w:pPr>
      <w:r>
        <w:rPr>
          <w:rFonts w:eastAsia="Helvetica" w:cs="Arial" w:ascii="Arial Narrow" w:hAnsi="Arial Narrow"/>
          <w:color w:val="000000"/>
        </w:rPr>
        <w:t>Nombre: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Cargo: [Insertar información] Documento de Identidad: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rFonts w:eastAsia="Helvetica"/>
          <w:sz w:val="24"/>
          <w:szCs w:val="24"/>
        </w:rPr>
      </w:pPr>
      <w:bookmarkStart w:id="50" w:name="__RefHeading___Toc482871783"/>
      <w:bookmarkEnd w:id="50"/>
      <w:r>
        <w:rPr>
          <w:rFonts w:eastAsia="Helvetica"/>
          <w:sz w:val="24"/>
          <w:szCs w:val="24"/>
        </w:rPr>
        <w:t>ANEXO 2- FORMATO DE PRESENTACIÓN DE LAS OFERTAS</w:t>
      </w:r>
    </w:p>
    <w:p>
      <w:pPr>
        <w:pStyle w:val="Heading1"/>
        <w:numPr>
          <w:ilvl w:val="0"/>
          <w:numId w:val="1"/>
        </w:numPr>
        <w:ind w:hanging="0" w:left="0"/>
        <w:jc w:val="center"/>
        <w:rPr>
          <w:rFonts w:eastAsia="Helvetica"/>
          <w:sz w:val="24"/>
          <w:szCs w:val="24"/>
        </w:rPr>
      </w:pPr>
      <w:r>
        <w:rPr>
          <w:rFonts w:eastAsia="Helvetica"/>
          <w:sz w:val="24"/>
          <w:szCs w:val="24"/>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850"/>
        <w:jc w:val="both"/>
        <w:rPr>
          <w:rFonts w:ascii="Arial Narrow" w:hAnsi="Arial Narrow" w:eastAsia="Helvetica" w:cs="Arial"/>
          <w:color w:val="000000"/>
        </w:rPr>
      </w:pPr>
      <w:r>
        <w:rPr>
          <w:rFonts w:eastAsia="Helvetica" w:cs="Arial" w:ascii="Arial Narrow" w:hAnsi="Arial Narrow"/>
          <w:color w:val="000000"/>
        </w:rPr>
        <w:t>Referencia: Proceso de Contratación -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Estimados señores: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 [nombre del Proponente], presento Oferta para el Proceso de Contratación de la referencia y hago las siguientes manifestaciones:</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1. Que conozco y acepto los Documentos del Proceso, tuve la oportunidad de solicitar aclaraciones y modificaciones a los mismos, y recibí de [Nombre de la Entidad Estatal] respuesta oportuna a cada una de las solicitudes.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2. Que estoy autorizado para suscribir y presentar la Oferta en nombre del Proponente y estoy autorizado para suscribir el contrato si el Proponente resulta adjudicatario del Proceso de Contratación de la referencia.</w:t>
      </w:r>
    </w:p>
    <w:p>
      <w:pPr>
        <w:pStyle w:val="Normal"/>
        <w:ind w:right="-850"/>
        <w:jc w:val="both"/>
        <w:rPr/>
      </w:pPr>
      <w:r>
        <w:rPr>
          <w:rFonts w:eastAsia="Helvetica" w:cs="Arial" w:ascii="Arial Narrow" w:hAnsi="Arial Narrow"/>
          <w:color w:val="000000"/>
        </w:rPr>
        <w:t>3. Que la Oferta que presento cumple con la totalidad de los requisitos y especificaciones técnicas del Anexo del Pliego de Condiciones del proceso de la referencia.</w:t>
      </w:r>
    </w:p>
    <w:p>
      <w:pPr>
        <w:pStyle w:val="Normal"/>
        <w:ind w:right="-850"/>
        <w:jc w:val="both"/>
        <w:rPr>
          <w:rFonts w:ascii="Arial Narrow" w:hAnsi="Arial Narrow" w:eastAsia="Helvetica" w:cs="Arial"/>
          <w:color w:val="000000"/>
        </w:rPr>
      </w:pPr>
      <w:r>
        <w:rPr>
          <w:rFonts w:eastAsia="Helvetica" w:cs="Arial" w:ascii="Arial Narrow" w:hAnsi="Arial Narrow"/>
          <w:color w:val="000000"/>
        </w:rPr>
        <w:t>4. Que la oferta económica y la oferta técnica están adjuntas a la presente comunicación y han sido elaboradas de acuerdo con los Documentos del Proceso y hacen parte integral de la Oferta.</w:t>
      </w:r>
    </w:p>
    <w:p>
      <w:pPr>
        <w:pStyle w:val="Normal"/>
        <w:ind w:right="-850"/>
        <w:jc w:val="both"/>
        <w:rPr>
          <w:rFonts w:ascii="Arial Narrow" w:hAnsi="Arial Narrow" w:eastAsia="Helvetica" w:cs="Arial"/>
          <w:color w:val="000000"/>
        </w:rPr>
      </w:pPr>
      <w:r>
        <w:rPr>
          <w:rFonts w:eastAsia="Helvetica" w:cs="Arial" w:ascii="Arial Narrow" w:hAnsi="Arial Narrow"/>
          <w:color w:val="000000"/>
        </w:rPr>
        <w:t>5. Que los documentos que presento con la Oferta son ciertos y han sido expedidos por personas autorizadas para el efecto.</w:t>
      </w:r>
    </w:p>
    <w:p>
      <w:pPr>
        <w:pStyle w:val="Normal"/>
        <w:ind w:right="-850"/>
        <w:jc w:val="both"/>
        <w:rPr>
          <w:rFonts w:ascii="Arial Narrow" w:hAnsi="Arial Narrow" w:eastAsia="Helvetica" w:cs="Arial"/>
          <w:color w:val="000000"/>
        </w:rPr>
      </w:pPr>
      <w:r>
        <w:rPr>
          <w:rFonts w:eastAsia="Helvetica" w:cs="Arial" w:ascii="Arial Narrow" w:hAnsi="Arial Narrow"/>
          <w:color w:val="000000"/>
        </w:rPr>
        <w:t>6. 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w:t>
      </w:r>
    </w:p>
    <w:p>
      <w:pPr>
        <w:pStyle w:val="Normal"/>
        <w:ind w:right="-850"/>
        <w:jc w:val="both"/>
        <w:rPr>
          <w:rFonts w:ascii="Arial Narrow" w:hAnsi="Arial Narrow" w:eastAsia="Helvetica" w:cs="Arial"/>
          <w:color w:val="000000"/>
        </w:rPr>
      </w:pPr>
      <w:r>
        <w:rPr>
          <w:rFonts w:eastAsia="Helvetica" w:cs="Arial" w:ascii="Arial Narrow" w:hAnsi="Arial Narrow"/>
          <w:color w:val="000000"/>
        </w:rPr>
        <w:t>7. Que en caso de resultar adjudicatario, suscribiré el contrato en la fecha prevista para el efecto en el Cronograma contenido en los Documentos del Proceso.</w:t>
      </w:r>
    </w:p>
    <w:p>
      <w:pPr>
        <w:pStyle w:val="Normal"/>
        <w:ind w:right="-850"/>
        <w:jc w:val="both"/>
        <w:rPr>
          <w:rFonts w:ascii="Arial Narrow" w:hAnsi="Arial Narrow" w:eastAsia="Helvetica" w:cs="Arial"/>
          <w:color w:val="000000"/>
        </w:rPr>
      </w:pPr>
      <w:r>
        <w:rPr>
          <w:rFonts w:eastAsia="Helvetica" w:cs="Arial" w:ascii="Arial Narrow" w:hAnsi="Arial Narrow"/>
          <w:color w:val="000000"/>
        </w:rPr>
        <w:t>8. Que en caso de resultar adjudicatario, me obligo a presentar las garantías previstas en los Documentos del Proceso en la fecha prevista para el efecto en el Cronograma allí contenido.</w:t>
      </w:r>
    </w:p>
    <w:p>
      <w:pPr>
        <w:pStyle w:val="Normal"/>
        <w:ind w:right="-850"/>
        <w:jc w:val="both"/>
        <w:rPr/>
      </w:pPr>
      <w:r>
        <w:rPr>
          <w:rFonts w:eastAsia="Helvetica" w:cs="Arial" w:ascii="Arial Narrow" w:hAnsi="Arial Narrow"/>
          <w:color w:val="000000"/>
        </w:rPr>
        <w:t>9). Que como proponente declara bajo la gravedad de juramento que no me encuentro incurso en ninguna causal de inhabilidades o incompatibilidades de acuerdo con lo dispuesto en los Artículos 8 y 9 de la Ley 80 de 1993, adicionado por el artículo 18 de la ley 1150 de 2007, la ley 1474 de 2011, Decreto N. 1082 de 2015 y demás normas concordantes, ni tampoco ninguno los miembros que conforman este consorcio y/o unión temporal. (Según corresponda)</w:t>
      </w:r>
    </w:p>
    <w:p>
      <w:pPr>
        <w:pStyle w:val="Normal"/>
        <w:ind w:right="-850"/>
        <w:jc w:val="both"/>
        <w:rPr>
          <w:rFonts w:ascii="Arial Narrow" w:hAnsi="Arial Narrow" w:eastAsia="Helvetica" w:cs="Arial"/>
          <w:color w:val="000000"/>
        </w:rPr>
      </w:pPr>
      <w:r>
        <w:rPr>
          <w:rFonts w:eastAsia="Helvetica" w:cs="Arial" w:ascii="Arial Narrow" w:hAnsi="Arial Narrow"/>
          <w:color w:val="000000"/>
        </w:rPr>
        <w:t>10). El plazo de validez de la propuesta será el contenido en la garantía de seriedad de la oferta.</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_______________________</w:t>
      </w:r>
    </w:p>
    <w:p>
      <w:pPr>
        <w:pStyle w:val="Normal"/>
        <w:ind w:right="-850"/>
        <w:jc w:val="both"/>
        <w:rPr>
          <w:rFonts w:ascii="Arial Narrow" w:hAnsi="Arial Narrow" w:eastAsia="Helvetica" w:cs="Arial"/>
          <w:color w:val="000000"/>
        </w:rPr>
      </w:pPr>
      <w:r>
        <w:rPr>
          <w:rFonts w:eastAsia="Helvetica" w:cs="Arial" w:ascii="Arial Narrow" w:hAnsi="Arial Narrow"/>
          <w:color w:val="000000"/>
        </w:rPr>
        <w:t>[FirmarepresentantelegaldelProponenteodelProponentepersonanatural]</w:t>
      </w:r>
    </w:p>
    <w:p>
      <w:pPr>
        <w:pStyle w:val="Normal"/>
        <w:ind w:right="-850"/>
        <w:jc w:val="both"/>
        <w:rPr>
          <w:rFonts w:ascii="Arial Narrow" w:hAnsi="Arial Narrow" w:eastAsia="Helvetica" w:cs="Arial"/>
          <w:color w:val="000000"/>
        </w:rPr>
      </w:pPr>
      <w:r>
        <w:rPr>
          <w:rFonts w:eastAsia="Helvetica" w:cs="Arial" w:ascii="Arial Narrow" w:hAnsi="Arial Narrow"/>
          <w:color w:val="000000"/>
        </w:rPr>
        <w:t>Nombre: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Cargo: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Documento de Identidad: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Dirección: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Correo electrónico: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t>Teléfono - Celular: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rPr/>
      </w:pPr>
      <w:bookmarkStart w:id="51" w:name="__RefHeading___Toc482871784"/>
      <w:bookmarkEnd w:id="51"/>
      <w:r>
        <w:rPr>
          <w:rFonts w:eastAsia="Helvetica"/>
          <w:sz w:val="24"/>
          <w:szCs w:val="24"/>
        </w:rPr>
        <w:t>ANEXO 3 –</w:t>
      </w:r>
      <w:r>
        <w:rPr>
          <w:sz w:val="24"/>
          <w:szCs w:val="24"/>
        </w:rPr>
        <w:t xml:space="preserve">. </w:t>
      </w:r>
      <w:r>
        <w:rPr>
          <w:rFonts w:eastAsia="Helvetica"/>
          <w:sz w:val="24"/>
          <w:szCs w:val="24"/>
        </w:rPr>
        <w:t>FORMATO PARA ACREDITAR LOS REQUISITOS HABILITANTES DE LOS PROPONENTES EXTRANJEROS SIN DOMICILIO O SUCURSAL EN COLOMBIA.</w:t>
      </w:r>
    </w:p>
    <w:p>
      <w:pPr>
        <w:pStyle w:val="Normal"/>
        <w:rPr>
          <w:rFonts w:eastAsia="Helvetica"/>
          <w:color w:val="000000"/>
          <w:sz w:val="24"/>
          <w:szCs w:val="24"/>
        </w:rPr>
      </w:pPr>
      <w:r>
        <w:rPr>
          <w:rFonts w:eastAsia="Helvetica"/>
          <w:color w:val="000000"/>
          <w:sz w:val="24"/>
          <w:szCs w:val="24"/>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drawing>
          <wp:inline distT="0" distB="0" distL="0" distR="0">
            <wp:extent cx="5621655" cy="5995670"/>
            <wp:effectExtent l="0" t="0" r="0" b="0"/>
            <wp:docPr id="4"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6" descr=""/>
                    <pic:cNvPicPr>
                      <a:picLocks noChangeAspect="1" noChangeArrowheads="1"/>
                    </pic:cNvPicPr>
                  </pic:nvPicPr>
                  <pic:blipFill>
                    <a:blip r:embed="rId11"/>
                    <a:srcRect l="-9" t="-9" r="-9" b="-9"/>
                    <a:stretch>
                      <a:fillRect/>
                    </a:stretch>
                  </pic:blipFill>
                  <pic:spPr bwMode="auto">
                    <a:xfrm>
                      <a:off x="0" y="0"/>
                      <a:ext cx="5621655" cy="5995670"/>
                    </a:xfrm>
                    <a:prstGeom prst="rect">
                      <a:avLst/>
                    </a:prstGeom>
                    <a:noFill/>
                  </pic:spPr>
                </pic:pic>
              </a:graphicData>
            </a:graphic>
          </wp:inline>
        </w:drawing>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rFonts w:eastAsia="Helvetica"/>
          <w:sz w:val="24"/>
          <w:szCs w:val="24"/>
        </w:rPr>
      </w:pPr>
      <w:r>
        <w:rPr>
          <w:rFonts w:eastAsia="Arial Narrow"/>
          <w:b w:val="false"/>
        </w:rPr>
        <w:t xml:space="preserve"> </w:t>
      </w:r>
      <w:bookmarkStart w:id="52" w:name="__RefHeading___Toc482871785"/>
      <w:r>
        <w:rPr>
          <w:rFonts w:eastAsia="Helvetica"/>
          <w:sz w:val="24"/>
          <w:szCs w:val="24"/>
        </w:rPr>
        <w:t>ANEXO 5- PROPUESTA ECONÓMICA</w:t>
      </w:r>
      <w:bookmarkEnd w:id="52"/>
    </w:p>
    <w:p>
      <w:pPr>
        <w:pStyle w:val="Normal"/>
        <w:rPr>
          <w:rFonts w:eastAsia="Helvetica"/>
          <w:color w:val="000000"/>
          <w:sz w:val="24"/>
          <w:szCs w:val="24"/>
          <w:lang w:val="es-CO"/>
        </w:rPr>
      </w:pPr>
      <w:r>
        <w:rPr>
          <w:rFonts w:eastAsia="Helvetica"/>
          <w:color w:val="000000"/>
          <w:sz w:val="24"/>
          <w:szCs w:val="24"/>
          <w:lang w:val="es-CO"/>
        </w:rPr>
      </w:r>
    </w:p>
    <w:p>
      <w:pPr>
        <w:pStyle w:val="Normal"/>
        <w:rPr>
          <w:rFonts w:eastAsia="Helvetica"/>
          <w:color w:val="000000"/>
          <w:lang w:val="es-CO"/>
        </w:rPr>
      </w:pPr>
      <w:r>
        <w:rPr>
          <w:rFonts w:eastAsia="Helvetica"/>
          <w:color w:val="000000"/>
          <w:lang w:val="es-CO"/>
        </w:rPr>
      </w:r>
    </w:p>
    <w:p>
      <w:pPr>
        <w:pStyle w:val="Normal"/>
        <w:jc w:val="center"/>
        <w:rPr>
          <w:b/>
          <w:color w:val="000000"/>
        </w:rPr>
      </w:pPr>
      <w:r>
        <w:rPr>
          <w:b/>
          <w:color w:val="000000"/>
        </w:rPr>
      </w:r>
    </w:p>
    <w:p>
      <w:pPr>
        <w:pStyle w:val="Normal"/>
        <w:jc w:val="center"/>
        <w:rPr>
          <w:b/>
          <w:color w:val="000000"/>
        </w:rPr>
      </w:pPr>
      <w:r>
        <w:rPr>
          <w:b/>
          <w:color w:val="000000"/>
        </w:rPr>
      </w:r>
    </w:p>
    <w:p>
      <w:pPr>
        <w:pStyle w:val="Normal"/>
        <w:jc w:val="center"/>
        <w:rPr>
          <w:b/>
          <w:color w:val="000000"/>
        </w:rPr>
      </w:pPr>
      <w:r>
        <w:rPr>
          <w:b/>
          <w:color w:val="000000"/>
        </w:rPr>
      </w:r>
    </w:p>
    <w:p>
      <w:pPr>
        <w:pStyle w:val="Normal"/>
        <w:jc w:val="center"/>
        <w:rPr>
          <w:b/>
          <w:color w:val="000000"/>
        </w:rPr>
      </w:pPr>
      <w:r>
        <w:rPr>
          <w:b/>
          <w:color w:val="000000"/>
        </w:rPr>
      </w:r>
    </w:p>
    <w:p>
      <w:pPr>
        <w:pStyle w:val="Normal"/>
        <w:jc w:val="center"/>
        <w:rPr>
          <w:b/>
          <w:color w:val="000000"/>
        </w:rPr>
      </w:pPr>
      <w:r>
        <w:rPr>
          <w:b/>
          <w:color w:val="000000"/>
        </w:rPr>
      </w:r>
    </w:p>
    <w:p>
      <w:pPr>
        <w:pStyle w:val="Normal"/>
        <w:jc w:val="center"/>
        <w:rPr>
          <w:b/>
          <w:color w:val="000000"/>
        </w:rPr>
      </w:pPr>
      <w:r>
        <w:rPr>
          <w:b/>
          <w:color w:val="000000"/>
        </w:rPr>
      </w:r>
    </w:p>
    <w:p>
      <w:pPr>
        <w:pStyle w:val="Normal"/>
        <w:rPr>
          <w:rFonts w:eastAsia="Helvetica"/>
          <w:b/>
          <w:color w:val="000000"/>
          <w:lang w:val="es-CO"/>
        </w:rPr>
      </w:pPr>
      <w:r>
        <w:rPr>
          <w:rFonts w:eastAsia="Helvetica"/>
          <w:b/>
          <w:color w:val="000000"/>
          <w:lang w:val="es-CO"/>
        </w:rPr>
      </w:r>
    </w:p>
    <w:p>
      <w:pPr>
        <w:pStyle w:val="Normal"/>
        <w:rPr>
          <w:rFonts w:eastAsia="Helvetica"/>
          <w:color w:val="000000"/>
          <w:lang w:val="es-CO"/>
        </w:rPr>
      </w:pPr>
      <w:r>
        <w:rPr>
          <w:rFonts w:eastAsia="Helvetica"/>
          <w:color w:val="000000"/>
          <w:lang w:val="es-CO"/>
        </w:rPr>
      </w:r>
    </w:p>
    <w:p>
      <w:pPr>
        <w:pStyle w:val="Normal"/>
        <w:rPr>
          <w:rFonts w:eastAsia="Helvetica"/>
          <w:color w:val="000000"/>
          <w:lang w:val="es-CO"/>
        </w:rPr>
      </w:pPr>
      <w:r>
        <w:rPr>
          <w:rFonts w:eastAsia="Helvetica"/>
          <w:color w:val="000000"/>
          <w:lang w:val="es-CO"/>
        </w:rPr>
      </w:r>
    </w:p>
    <w:p>
      <w:pPr>
        <w:pStyle w:val="Normal"/>
        <w:rPr>
          <w:rFonts w:eastAsia="Helvetica"/>
          <w:color w:val="000000"/>
          <w:lang w:val="es-CO"/>
        </w:rPr>
      </w:pPr>
      <w:r>
        <w:rPr>
          <w:rFonts w:eastAsia="Helvetica"/>
          <w:color w:val="000000"/>
          <w:lang w:val="es-CO"/>
        </w:rPr>
      </w:r>
    </w:p>
    <w:p>
      <w:pPr>
        <w:pStyle w:val="Normal"/>
        <w:rPr>
          <w:rFonts w:eastAsia="Helvetica"/>
          <w:color w:val="000000"/>
          <w:lang w:val="es-CO"/>
        </w:rPr>
      </w:pPr>
      <w:r>
        <w:rPr>
          <w:rFonts w:eastAsia="Helvetica"/>
          <w:color w:val="000000"/>
          <w:lang w:val="es-CO"/>
        </w:rPr>
      </w:r>
    </w:p>
    <w:p>
      <w:pPr>
        <w:pStyle w:val="Normal"/>
        <w:rPr>
          <w:rFonts w:eastAsia="Helvetica"/>
          <w:color w:val="000000"/>
          <w:lang w:val="es-CO"/>
        </w:rPr>
      </w:pPr>
      <w:r>
        <w:rPr>
          <w:rFonts w:eastAsia="Helvetica"/>
          <w:color w:val="000000"/>
          <w:lang w:val="es-CO"/>
        </w:rPr>
      </w:r>
    </w:p>
    <w:p>
      <w:pPr>
        <w:pStyle w:val="Normal"/>
        <w:rPr>
          <w:rFonts w:eastAsia="Helvetica"/>
          <w:color w:val="000000"/>
          <w:lang w:val="es-CO"/>
        </w:rPr>
      </w:pPr>
      <w:r>
        <w:rPr>
          <w:rFonts w:eastAsia="Helvetica"/>
          <w:color w:val="000000"/>
          <w:lang w:val="es-CO"/>
        </w:rPr>
      </w:r>
    </w:p>
    <w:p>
      <w:pPr>
        <w:pStyle w:val="Normal"/>
        <w:ind w:left="-709" w:right="-232"/>
        <w:jc w:val="center"/>
        <w:rPr>
          <w:rFonts w:ascii="Arial Narrow" w:hAnsi="Arial Narrow" w:eastAsia="Helvetica" w:cs="Arial"/>
          <w:b/>
          <w:color w:val="000000"/>
          <w:lang w:val="es-CO"/>
        </w:rPr>
      </w:pPr>
      <w:r>
        <w:rPr>
          <w:rFonts w:eastAsia="Helvetica" w:cs="Arial" w:ascii="Arial Narrow" w:hAnsi="Arial Narrow"/>
          <w:b/>
          <w:color w:val="000000"/>
          <w:lang w:val="es-CO"/>
        </w:rPr>
      </w:r>
    </w:p>
    <w:p>
      <w:pPr>
        <w:pStyle w:val="Normal"/>
        <w:rPr>
          <w:rFonts w:ascii="Arial Narrow" w:hAnsi="Arial Narrow" w:eastAsia="Helvetica" w:cs="Arial Narrow"/>
          <w:b/>
          <w:color w:val="000000"/>
          <w:lang w:val="es-ES" w:eastAsia="es-ES"/>
        </w:rPr>
      </w:pPr>
      <w:r>
        <w:rPr>
          <w:rFonts w:eastAsia="Helvetica" w:cs="Arial Narrow" w:ascii="Arial Narrow" w:hAnsi="Arial Narrow"/>
          <w:b/>
          <w:color w:val="000000"/>
          <w:lang w:val="es-ES" w:eastAsia="es-ES"/>
        </w:rPr>
      </w:r>
    </w:p>
    <w:p>
      <w:pPr>
        <w:pStyle w:val="Normal"/>
        <w:ind w:left="-709" w:right="-232"/>
        <w:jc w:val="center"/>
        <w:rPr>
          <w:rFonts w:ascii="Arial Narrow" w:hAnsi="Arial Narrow" w:eastAsia="Helvetica" w:cs="Arial"/>
          <w:b/>
          <w:color w:val="000000"/>
          <w:lang w:val="es-ES" w:eastAsia="es-ES"/>
        </w:rPr>
      </w:pPr>
      <w:r>
        <w:rPr>
          <w:rFonts w:eastAsia="Helvetica" w:cs="Arial" w:ascii="Arial Narrow" w:hAnsi="Arial Narrow"/>
          <w:b/>
          <w:color w:val="000000"/>
          <w:lang w:val="es-ES" w:eastAsia="es-ES"/>
        </w:rPr>
      </w:r>
    </w:p>
    <w:p>
      <w:pPr>
        <w:pStyle w:val="Normal"/>
        <w:ind w:left="-709" w:right="-232"/>
        <w:jc w:val="center"/>
        <w:rPr>
          <w:rFonts w:ascii="Arial Narrow" w:hAnsi="Arial Narrow" w:eastAsia="Helvetica" w:cs="Arial"/>
          <w:b/>
          <w:color w:val="000000"/>
          <w:lang w:val="es-ES"/>
        </w:rPr>
      </w:pPr>
      <w:r>
        <w:rPr>
          <w:rFonts w:eastAsia="Helvetica" w:cs="Arial" w:ascii="Arial Narrow" w:hAnsi="Arial Narrow"/>
          <w:b/>
          <w:color w:val="000000"/>
          <w:lang w:val="es-ES"/>
        </w:rPr>
      </w:r>
    </w:p>
    <w:p>
      <w:pPr>
        <w:pStyle w:val="Normal"/>
        <w:ind w:left="-709" w:right="-232"/>
        <w:jc w:val="center"/>
        <w:rPr>
          <w:rFonts w:ascii="Arial Narrow" w:hAnsi="Arial Narrow" w:eastAsia="Helvetica" w:cs="Arial"/>
          <w:b/>
          <w:color w:val="000000"/>
          <w:lang w:val="es-ES"/>
        </w:rPr>
      </w:pPr>
      <w:r>
        <w:rPr>
          <w:rFonts w:eastAsia="Helvetica" w:cs="Arial" w:ascii="Arial Narrow" w:hAnsi="Arial Narrow"/>
          <w:b/>
          <w:color w:val="000000"/>
          <w:lang w:val="es-ES"/>
        </w:rPr>
      </w:r>
    </w:p>
    <w:p>
      <w:pPr>
        <w:pStyle w:val="Normal"/>
        <w:ind w:left="-709" w:right="-232"/>
        <w:jc w:val="center"/>
        <w:rPr>
          <w:rFonts w:ascii="Arial Narrow" w:hAnsi="Arial Narrow" w:eastAsia="Helvetica" w:cs="Arial"/>
          <w:b/>
          <w:color w:val="000000"/>
          <w:lang w:val="es-ES"/>
        </w:rPr>
      </w:pPr>
      <w:r>
        <w:rPr>
          <w:rFonts w:eastAsia="Helvetica" w:cs="Arial" w:ascii="Arial Narrow" w:hAnsi="Arial Narrow"/>
          <w:b/>
          <w:color w:val="000000"/>
          <w:lang w:val="es-ES"/>
        </w:rPr>
      </w:r>
    </w:p>
    <w:p>
      <w:pPr>
        <w:pStyle w:val="Heading1"/>
        <w:numPr>
          <w:ilvl w:val="0"/>
          <w:numId w:val="1"/>
        </w:numPr>
        <w:ind w:hanging="0" w:left="0"/>
        <w:jc w:val="center"/>
        <w:rPr/>
      </w:pPr>
      <w:bookmarkStart w:id="53" w:name="__RefHeading___Toc482871786"/>
      <w:bookmarkEnd w:id="53"/>
      <w:r>
        <w:rPr>
          <w:rFonts w:eastAsia="Helvetica" w:cs="Arial"/>
          <w:sz w:val="24"/>
          <w:szCs w:val="24"/>
          <w:lang w:val="es-CO"/>
        </w:rPr>
        <w:t>A</w:t>
      </w:r>
      <w:r>
        <w:rPr>
          <w:rFonts w:eastAsia="Helvetica" w:cs="Arial"/>
          <w:sz w:val="24"/>
          <w:szCs w:val="24"/>
        </w:rPr>
        <w:t xml:space="preserve">NEXO </w:t>
      </w:r>
      <w:r>
        <w:rPr>
          <w:rFonts w:eastAsia="Helvetica" w:cs="Arial"/>
          <w:sz w:val="24"/>
          <w:szCs w:val="24"/>
          <w:lang w:val="es-ES"/>
        </w:rPr>
        <w:t>6</w:t>
      </w:r>
      <w:r>
        <w:rPr>
          <w:rFonts w:eastAsia="Helvetica" w:cs="Arial"/>
          <w:sz w:val="24"/>
          <w:szCs w:val="24"/>
        </w:rPr>
        <w:t xml:space="preserve"> –</w:t>
      </w:r>
      <w:r>
        <w:rPr>
          <w:sz w:val="24"/>
          <w:szCs w:val="24"/>
        </w:rPr>
        <w:t xml:space="preserve">. </w:t>
      </w:r>
      <w:r>
        <w:rPr>
          <w:sz w:val="24"/>
          <w:szCs w:val="24"/>
          <w:lang w:val="es-CO"/>
        </w:rPr>
        <w:t>M</w:t>
      </w:r>
      <w:r>
        <w:rPr>
          <w:sz w:val="24"/>
          <w:szCs w:val="24"/>
        </w:rPr>
        <w:t xml:space="preserve">ODELO DE </w:t>
      </w:r>
      <w:r>
        <w:rPr>
          <w:sz w:val="24"/>
          <w:szCs w:val="24"/>
          <w:lang w:val="es-ES"/>
        </w:rPr>
        <w:t>CONFORMACIÓN PARA</w:t>
      </w:r>
      <w:r>
        <w:rPr>
          <w:sz w:val="24"/>
          <w:szCs w:val="24"/>
        </w:rPr>
        <w:t xml:space="preserve"> CONSORCIO</w:t>
      </w:r>
      <w:r>
        <w:rPr>
          <w:sz w:val="24"/>
          <w:szCs w:val="24"/>
          <w:lang w:val="es-ES"/>
        </w:rPr>
        <w:t>S</w:t>
      </w:r>
    </w:p>
    <w:p>
      <w:pPr>
        <w:pStyle w:val="Normal"/>
        <w:ind w:right="-850"/>
        <w:jc w:val="center"/>
        <w:rPr>
          <w:rFonts w:ascii="Arial Narrow" w:hAnsi="Arial Narrow" w:cs="Arial Narrow"/>
          <w:b/>
          <w:color w:val="000000"/>
          <w:sz w:val="24"/>
          <w:szCs w:val="24"/>
          <w:lang w:val="es-ES"/>
        </w:rPr>
      </w:pPr>
      <w:r>
        <w:rPr>
          <w:rFonts w:cs="Arial Narrow" w:ascii="Arial Narrow" w:hAnsi="Arial Narrow"/>
          <w:b/>
          <w:color w:val="000000"/>
          <w:sz w:val="24"/>
          <w:szCs w:val="24"/>
          <w:lang w:val="es-ES"/>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Ciudad y fecha.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INVISBU</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REF.: CONCURSO DE MÉRITOS ABIERTO XXXXXX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Estimados 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pPr>
      <w:r>
        <w:rPr>
          <w:rFonts w:cs="Arial Narrow" w:ascii="Arial Narrow" w:hAnsi="Arial Narrow"/>
          <w:color w:val="000000"/>
          <w:sz w:val="22"/>
          <w:szCs w:val="22"/>
        </w:rPr>
        <w:t>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CONSORCIO el cual se denominara ________para acceder al presente proceso, cuyo objeto es _________________________________________, y por lo tanto, expresamos lo siguiente:</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1. La duración de este consorcio será igual al término de ejecución y un año más a la ejecución del contrato.</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2. El Consorcio está integrado por: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tbl>
      <w:tblPr>
        <w:tblW w:w="8980" w:type="dxa"/>
        <w:jc w:val="center"/>
        <w:tblInd w:w="0" w:type="dxa"/>
        <w:tblLayout w:type="fixed"/>
        <w:tblCellMar>
          <w:top w:w="0" w:type="dxa"/>
          <w:left w:w="108" w:type="dxa"/>
          <w:bottom w:w="0" w:type="dxa"/>
          <w:right w:w="108" w:type="dxa"/>
        </w:tblCellMar>
      </w:tblPr>
      <w:tblGrid>
        <w:gridCol w:w="2993"/>
        <w:gridCol w:w="2993"/>
        <w:gridCol w:w="2994"/>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NOMBRE</w:t>
            </w:r>
          </w:p>
        </w:tc>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PARTICIPACIÓN</w:t>
            </w:r>
          </w:p>
        </w:tc>
        <w:tc>
          <w:tcPr>
            <w:tcW w:w="2994"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b/>
                <w:color w:val="000000"/>
                <w:sz w:val="22"/>
                <w:szCs w:val="22"/>
              </w:rPr>
            </w:pPr>
            <w:r>
              <w:rPr>
                <w:rFonts w:cs="Arial Narrow" w:ascii="Arial Narrow" w:hAnsi="Arial Narrow"/>
                <w:b/>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bl>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numPr>
          <w:ilvl w:val="0"/>
          <w:numId w:val="2"/>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El total de la columna, es decir la suma de los porcentajes de participación de los integrantes, debe ser igual al 100%. </w:t>
      </w:r>
    </w:p>
    <w:p>
      <w:pPr>
        <w:pStyle w:val="Normal"/>
        <w:numPr>
          <w:ilvl w:val="0"/>
          <w:numId w:val="2"/>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La responsabilidad de los integrantes del Consorcio es solidaria e ilimitada.</w:t>
      </w:r>
    </w:p>
    <w:p>
      <w:pPr>
        <w:pStyle w:val="Normal"/>
        <w:numPr>
          <w:ilvl w:val="0"/>
          <w:numId w:val="2"/>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Los miembros del consorcio no podrán ceder a ningún integrante, ni a terceros la participación en el consorcio, sin autorización previa y escrita del INVISBU.</w:t>
      </w:r>
    </w:p>
    <w:p>
      <w:pPr>
        <w:pStyle w:val="Normal"/>
        <w:numPr>
          <w:ilvl w:val="0"/>
          <w:numId w:val="2"/>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El representante legal del Consorcio es ____________________________ (indicar el nombre), identificado con C.C.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pPr>
        <w:pStyle w:val="Normal"/>
        <w:numPr>
          <w:ilvl w:val="0"/>
          <w:numId w:val="2"/>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La sede del Consorcio y/o Unión Temporal 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Dirección de correo 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Dirección electrónica _________________________________ 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Teléfono___________________________________________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Celular__________________________________________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Ciudad ___________________________________________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eastAsia="Arial Narrow" w:cs="Arial Narrow" w:ascii="Arial Narrow" w:hAnsi="Arial Narrow"/>
          <w:color w:val="000000"/>
          <w:sz w:val="22"/>
          <w:szCs w:val="22"/>
        </w:rPr>
        <w:t xml:space="preserve"> </w:t>
      </w:r>
      <w:r>
        <w:rPr>
          <w:rFonts w:cs="Arial Narrow" w:ascii="Arial Narrow" w:hAnsi="Arial Narrow"/>
          <w:color w:val="000000"/>
          <w:sz w:val="22"/>
          <w:szCs w:val="22"/>
        </w:rPr>
        <w:t>En constancia, se firma en ______, a los ____ días del mes de _____ de 2017</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integrante1)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integrante2)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(Nombre y firma del Representante Legal del Consorcio)</w:t>
      </w:r>
    </w:p>
    <w:p>
      <w:pPr>
        <w:pStyle w:val="Heading1"/>
        <w:numPr>
          <w:ilvl w:val="0"/>
          <w:numId w:val="1"/>
        </w:numPr>
        <w:ind w:hanging="0" w:left="0"/>
        <w:jc w:val="center"/>
        <w:rPr/>
      </w:pPr>
      <w:bookmarkStart w:id="54" w:name="__RefHeading___Toc482871787"/>
      <w:bookmarkEnd w:id="54"/>
      <w:r>
        <w:rPr>
          <w:rFonts w:eastAsia="Helvetica" w:cs="Arial"/>
          <w:sz w:val="24"/>
          <w:szCs w:val="24"/>
          <w:lang w:val="es-CO"/>
        </w:rPr>
        <w:t>A</w:t>
      </w:r>
      <w:r>
        <w:rPr>
          <w:rFonts w:eastAsia="Helvetica" w:cs="Arial"/>
          <w:sz w:val="24"/>
          <w:szCs w:val="24"/>
        </w:rPr>
        <w:t xml:space="preserve">NEXO </w:t>
      </w:r>
      <w:r>
        <w:rPr>
          <w:rFonts w:eastAsia="Helvetica" w:cs="Arial"/>
          <w:sz w:val="24"/>
          <w:szCs w:val="24"/>
          <w:lang w:val="es-ES"/>
        </w:rPr>
        <w:t>7</w:t>
      </w:r>
      <w:r>
        <w:rPr>
          <w:rFonts w:eastAsia="Helvetica" w:cs="Arial"/>
          <w:sz w:val="24"/>
          <w:szCs w:val="24"/>
        </w:rPr>
        <w:t xml:space="preserve"> –</w:t>
      </w:r>
      <w:r>
        <w:rPr>
          <w:sz w:val="24"/>
          <w:szCs w:val="24"/>
        </w:rPr>
        <w:t xml:space="preserve">. </w:t>
      </w:r>
      <w:r>
        <w:rPr>
          <w:sz w:val="24"/>
          <w:szCs w:val="24"/>
          <w:lang w:val="es-CO"/>
        </w:rPr>
        <w:t>M</w:t>
      </w:r>
      <w:r>
        <w:rPr>
          <w:sz w:val="24"/>
          <w:szCs w:val="24"/>
        </w:rPr>
        <w:t xml:space="preserve">ODELO DE </w:t>
      </w:r>
      <w:r>
        <w:rPr>
          <w:sz w:val="24"/>
          <w:szCs w:val="24"/>
          <w:lang w:val="es-ES"/>
        </w:rPr>
        <w:t>CONFORMACIÓN PARA UNIONES TEMPORALES</w:t>
      </w:r>
    </w:p>
    <w:p>
      <w:pPr>
        <w:pStyle w:val="Normal"/>
        <w:ind w:right="-850"/>
        <w:jc w:val="center"/>
        <w:rPr>
          <w:rFonts w:ascii="Arial Narrow" w:hAnsi="Arial Narrow" w:cs="Arial Narrow"/>
          <w:b/>
          <w:color w:val="000000"/>
          <w:sz w:val="22"/>
          <w:szCs w:val="22"/>
          <w:lang w:val="es-ES"/>
        </w:rPr>
      </w:pPr>
      <w:r>
        <w:rPr>
          <w:rFonts w:cs="Arial Narrow" w:ascii="Arial Narrow" w:hAnsi="Arial Narrow"/>
          <w:b/>
          <w:color w:val="000000"/>
          <w:sz w:val="22"/>
          <w:szCs w:val="22"/>
          <w:lang w:val="es-ES"/>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y fecha.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INVISBU</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REF.: CONCURSO DE MÉRITOS ABIERTO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Estimados 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pPr>
      <w:r>
        <w:rPr>
          <w:rFonts w:cs="Arial Narrow" w:ascii="Arial Narrow" w:hAnsi="Arial Narrow"/>
          <w:color w:val="000000"/>
          <w:sz w:val="20"/>
          <w:szCs w:val="20"/>
        </w:rPr>
        <w:t xml:space="preserve">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UNIÓN TEMPORAL la cual se denominara _____________ para acceder presente proceso, cuyo objeto es _________________________________________, y por lo tanto, expresamos lo siguiente: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7"/>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duración de la Unión Temporal será igual al término de ejecución y un año más a la liquidación del contrato. </w:t>
      </w:r>
    </w:p>
    <w:p>
      <w:pPr>
        <w:pStyle w:val="Normal"/>
        <w:numPr>
          <w:ilvl w:val="0"/>
          <w:numId w:val="7"/>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La Unión Temporal está integrada por:</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tbl>
      <w:tblPr>
        <w:tblW w:w="8980" w:type="dxa"/>
        <w:jc w:val="left"/>
        <w:tblInd w:w="0" w:type="dxa"/>
        <w:tblLayout w:type="fixed"/>
        <w:tblCellMar>
          <w:top w:w="0" w:type="dxa"/>
          <w:left w:w="108" w:type="dxa"/>
          <w:bottom w:w="0" w:type="dxa"/>
          <w:right w:w="108" w:type="dxa"/>
        </w:tblCellMar>
      </w:tblPr>
      <w:tblGrid>
        <w:gridCol w:w="2993"/>
        <w:gridCol w:w="3352"/>
        <w:gridCol w:w="2635"/>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NOMBRE</w:t>
            </w:r>
          </w:p>
        </w:tc>
        <w:tc>
          <w:tcPr>
            <w:tcW w:w="3352" w:type="dxa"/>
            <w:tcBorders>
              <w:top w:val="single" w:sz="4" w:space="0" w:color="000000"/>
              <w:left w:val="single" w:sz="4" w:space="0" w:color="000000"/>
              <w:bottom w:val="single" w:sz="4" w:space="0" w:color="000000"/>
              <w:right w:val="single" w:sz="4" w:space="0" w:color="000000"/>
            </w:tcBorders>
          </w:tcPr>
          <w:p>
            <w:pPr>
              <w:pStyle w:val="Normal"/>
              <w:ind w:right="-374"/>
              <w:rPr>
                <w:rFonts w:ascii="Arial Narrow" w:hAnsi="Arial Narrow" w:cs="Arial Narrow"/>
                <w:color w:val="000000"/>
                <w:sz w:val="20"/>
                <w:szCs w:val="20"/>
              </w:rPr>
            </w:pPr>
            <w:r>
              <w:rPr>
                <w:rFonts w:cs="Arial Narrow" w:ascii="Arial Narrow" w:hAnsi="Arial Narrow"/>
                <w:color w:val="000000"/>
                <w:sz w:val="20"/>
                <w:szCs w:val="20"/>
              </w:rPr>
              <w:t>TÉRMINOS Y EXTENSIÓN DE PARTICIPACIÓN DE LA EJECUCIÓN DEL CONTRATO</w:t>
            </w:r>
          </w:p>
        </w:tc>
        <w:tc>
          <w:tcPr>
            <w:tcW w:w="2635"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COMPROMISO (%)</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bl>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Discriminar en función de los ítems establecidos en el presupuesto oficial, para cada uno de los integrantes.</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total de la columna, es decir la suma de los porcentajes de compromiso de los miembros, debe ser igual al 100%.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responsabilidad de los integrantes de la Unión Temporal es solidaria.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Los miembros de la unión temporal no podrán ceder a ningún integrante, ni a terceros la participación, sin autorización previa y escrita del Municipio.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representante de la Unión Temporal es ____________________ (indicar el nombre), identificado con la cédula de ciudadanía No. ____________, de ___________, quien está expresamente para representarnos legalmente, para firmar y presentar la propuesta, actuar en todas las actuaciones que se causen con ocasión de presente proceso xx , firmar el contrato y tomar todas las determinaciones que fueren necesarias respecto a la ejecución y liquidación del contrato con amplias y suficientes facultades.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sede de la Unión Temporal es: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Dirección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Teléfono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Telefax___________________________________________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___________________________________________ </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En constancia, se firma en _______________, a los ____ días del mes de _____ de 2017</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Heading1"/>
        <w:numPr>
          <w:ilvl w:val="0"/>
          <w:numId w:val="1"/>
        </w:numPr>
        <w:ind w:hanging="0" w:left="0"/>
        <w:jc w:val="center"/>
        <w:rPr>
          <w:rFonts w:ascii="Arial Narrow" w:hAnsi="Arial Narrow" w:eastAsia="Helvetica" w:cs="Arial"/>
          <w:color w:val="000000"/>
          <w:sz w:val="20"/>
          <w:szCs w:val="20"/>
          <w:lang w:val="es-CO"/>
        </w:rPr>
      </w:pPr>
      <w:r>
        <w:rPr>
          <w:rFonts w:eastAsia="Helvetica" w:cs="Arial"/>
          <w:color w:val="000000"/>
          <w:sz w:val="20"/>
          <w:szCs w:val="20"/>
          <w:lang w:val="es-CO"/>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integrante1)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integrante2)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(Nombre y firma del Representante Legal de la Unión Temporal)</w:t>
      </w:r>
    </w:p>
    <w:p>
      <w:pPr>
        <w:pStyle w:val="Heading1"/>
        <w:numPr>
          <w:ilvl w:val="0"/>
          <w:numId w:val="1"/>
        </w:numPr>
        <w:ind w:hanging="0" w:left="0"/>
        <w:jc w:val="center"/>
        <w:rPr>
          <w:rFonts w:ascii="Arial Narrow" w:hAnsi="Arial Narrow" w:eastAsia="Helvetica" w:cs="Arial"/>
          <w:color w:val="000000"/>
          <w:sz w:val="24"/>
          <w:szCs w:val="24"/>
          <w:lang w:val="es-CO"/>
        </w:rPr>
      </w:pPr>
      <w:r>
        <w:rPr>
          <w:rFonts w:eastAsia="Helvetica" w:cs="Arial"/>
          <w:color w:val="000000"/>
          <w:sz w:val="24"/>
          <w:szCs w:val="24"/>
          <w:lang w:val="es-CO"/>
        </w:rPr>
      </w:r>
    </w:p>
    <w:p>
      <w:pPr>
        <w:pStyle w:val="Heading1"/>
        <w:numPr>
          <w:ilvl w:val="0"/>
          <w:numId w:val="1"/>
        </w:numPr>
        <w:ind w:hanging="0" w:left="0"/>
        <w:jc w:val="center"/>
        <w:rPr>
          <w:rFonts w:eastAsia="Helvetica" w:cs="Arial"/>
          <w:sz w:val="24"/>
          <w:szCs w:val="24"/>
          <w:lang w:val="es-CO"/>
        </w:rPr>
      </w:pPr>
      <w:r>
        <w:rPr>
          <w:rFonts w:eastAsia="Helvetica" w:cs="Arial"/>
          <w:sz w:val="24"/>
          <w:szCs w:val="24"/>
          <w:lang w:val="es-CO"/>
        </w:rPr>
      </w:r>
    </w:p>
    <w:p>
      <w:pPr>
        <w:pStyle w:val="Heading1"/>
        <w:numPr>
          <w:ilvl w:val="0"/>
          <w:numId w:val="1"/>
        </w:numPr>
        <w:ind w:hanging="0" w:left="0"/>
        <w:jc w:val="center"/>
        <w:rPr>
          <w:sz w:val="24"/>
          <w:szCs w:val="24"/>
        </w:rPr>
      </w:pPr>
      <w:bookmarkStart w:id="55" w:name="__RefHeading___Toc482871788"/>
      <w:bookmarkEnd w:id="55"/>
      <w:r>
        <w:rPr>
          <w:rFonts w:eastAsia="Helvetica" w:cs="Arial"/>
          <w:sz w:val="24"/>
          <w:szCs w:val="24"/>
          <w:lang w:val="es-CO"/>
        </w:rPr>
        <w:t>A</w:t>
      </w:r>
      <w:r>
        <w:rPr>
          <w:rFonts w:eastAsia="Helvetica" w:cs="Arial"/>
          <w:sz w:val="24"/>
          <w:szCs w:val="24"/>
        </w:rPr>
        <w:t xml:space="preserve">NEXO </w:t>
      </w:r>
      <w:r>
        <w:rPr>
          <w:rFonts w:eastAsia="Helvetica" w:cs="Arial"/>
          <w:sz w:val="24"/>
          <w:szCs w:val="24"/>
          <w:lang w:val="es-ES"/>
        </w:rPr>
        <w:t>8</w:t>
      </w:r>
      <w:r>
        <w:rPr>
          <w:rFonts w:eastAsia="Helvetica" w:cs="Arial"/>
          <w:sz w:val="24"/>
          <w:szCs w:val="24"/>
        </w:rPr>
        <w:t xml:space="preserve"> –</w:t>
      </w:r>
      <w:r>
        <w:rPr>
          <w:sz w:val="24"/>
          <w:szCs w:val="24"/>
        </w:rPr>
        <w:t xml:space="preserve">. </w:t>
      </w:r>
      <w:r>
        <w:rPr>
          <w:sz w:val="24"/>
          <w:szCs w:val="24"/>
          <w:lang w:val="es-CO"/>
        </w:rPr>
        <w:t>C</w:t>
      </w:r>
      <w:r>
        <w:rPr>
          <w:sz w:val="24"/>
          <w:szCs w:val="24"/>
        </w:rPr>
        <w:t>ERTIFICADO DE PAGO APORTES SISTEMA GENERAL DE SEGURIDAD SOCIAL PARAFISCALES</w:t>
      </w:r>
    </w:p>
    <w:p>
      <w:pPr>
        <w:pStyle w:val="Normal"/>
        <w:ind w:left="-993" w:right="51"/>
        <w:jc w:val="center"/>
        <w:rPr>
          <w:rFonts w:ascii="Arial Narrow" w:hAnsi="Arial Narrow" w:cs="Arial Narrow"/>
          <w:color w:val="000000"/>
          <w:sz w:val="24"/>
          <w:szCs w:val="24"/>
        </w:rPr>
      </w:pPr>
      <w:r>
        <w:rPr>
          <w:rFonts w:cs="Arial Narrow" w:ascii="Arial Narrow" w:hAnsi="Arial Narrow"/>
          <w:color w:val="000000"/>
          <w:sz w:val="24"/>
          <w:szCs w:val="24"/>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Ciudad y fecha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Señores: </w:t>
      </w:r>
    </w:p>
    <w:p>
      <w:pPr>
        <w:pStyle w:val="Normal"/>
        <w:ind w:left="-993" w:right="51"/>
        <w:jc w:val="both"/>
        <w:rPr>
          <w:rFonts w:ascii="Arial Narrow" w:hAnsi="Arial Narrow" w:cs="Arial Narrow"/>
          <w:color w:val="000000"/>
        </w:rPr>
      </w:pPr>
      <w:r>
        <w:rPr>
          <w:rFonts w:cs="Arial Narrow" w:ascii="Arial Narrow" w:hAnsi="Arial Narrow"/>
          <w:color w:val="000000"/>
        </w:rPr>
        <w:t xml:space="preserve">INVISBU </w:t>
      </w:r>
    </w:p>
    <w:p>
      <w:pPr>
        <w:pStyle w:val="Normal"/>
        <w:ind w:left="-993" w:right="51"/>
        <w:jc w:val="both"/>
        <w:rPr>
          <w:rFonts w:ascii="Arial Narrow" w:hAnsi="Arial Narrow" w:cs="Arial Narrow"/>
          <w:color w:val="000000"/>
        </w:rPr>
      </w:pPr>
      <w:r>
        <w:rPr>
          <w:rFonts w:cs="Arial Narrow" w:ascii="Arial Narrow" w:hAnsi="Arial Narrow"/>
          <w:color w:val="000000"/>
        </w:rPr>
        <w:t>REF.: CONCURSO DE MÉRITOS ABIERTO XXXXXXXX</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Respetados señores: El suscrito Revisor Fiscal (cuando este exista de acuerdo con los requerimientos de ley) o el representante legal, hace saber que la (NOMBRE COMPLETO DE LA ENTIDAD), ha cumplido y se encuentra al día con sus obligaciones provenientes del sistema de salud, riesgos profesionales, pensiones y aportes a las Cajas de Compensación Familiar, Instituto Colombiano de Bienestar Familiar y Servicio Nacional de Aprendizaje. La anterior certificación se expide para efectos de dar cumplimiento al Artículo 23 de la Ley 1150 de 2007.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sz w:val="24"/>
          <w:szCs w:val="24"/>
        </w:rPr>
      </w:pPr>
      <w:bookmarkStart w:id="56" w:name="__RefHeading___Toc482871789"/>
      <w:bookmarkEnd w:id="56"/>
      <w:r>
        <w:rPr>
          <w:sz w:val="24"/>
          <w:szCs w:val="24"/>
        </w:rPr>
        <w:t xml:space="preserve">ANEXO </w:t>
      </w:r>
      <w:r>
        <w:rPr>
          <w:sz w:val="24"/>
          <w:szCs w:val="24"/>
          <w:lang w:val="es-CO"/>
        </w:rPr>
        <w:t>9</w:t>
      </w:r>
      <w:r>
        <w:rPr>
          <w:sz w:val="24"/>
          <w:szCs w:val="24"/>
        </w:rPr>
        <w:t xml:space="preserve"> -  APOYO A LA INDUSTRIA NACIONAL</w:t>
      </w:r>
    </w:p>
    <w:p>
      <w:pPr>
        <w:pStyle w:val="Normal"/>
        <w:ind w:right="-850"/>
        <w:jc w:val="center"/>
        <w:rPr>
          <w:rFonts w:ascii="Arial Narrow" w:hAnsi="Arial Narrow" w:cs="Arial Narrow"/>
          <w:b/>
          <w:color w:val="000000"/>
          <w:sz w:val="24"/>
          <w:szCs w:val="24"/>
        </w:rPr>
      </w:pPr>
      <w:r>
        <w:rPr>
          <w:rFonts w:cs="Arial Narrow" w:ascii="Arial Narrow" w:hAnsi="Arial Narrow"/>
          <w:b/>
          <w:color w:val="000000"/>
          <w:sz w:val="24"/>
          <w:szCs w:val="24"/>
        </w:rPr>
      </w:r>
    </w:p>
    <w:p>
      <w:pPr>
        <w:pStyle w:val="Normal"/>
        <w:ind w:right="-850"/>
        <w:jc w:val="both"/>
        <w:rPr/>
      </w:pPr>
      <w:r>
        <w:rPr>
          <w:rFonts w:cs="Arial Narrow" w:ascii="Arial Narrow" w:hAnsi="Arial Narrow"/>
          <w:color w:val="000000"/>
        </w:rPr>
        <w:t>INSTITUTO DE VIVIENDA DE INTERÉS SOCIAL Y REFORMA URBANA DEL MUNICIPIO DE BUCARAMANGA - INVISBU</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pPr>
      <w:r>
        <w:rPr>
          <w:rFonts w:cs="Arial Narrow" w:ascii="Arial Narrow" w:hAnsi="Arial Narrow"/>
          <w:color w:val="000000"/>
        </w:rPr>
        <w:t xml:space="preserve">CONCURSO DE MÉRITOS ABIERTO XXXXXXXX: 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Objeto: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Proponente: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 xml:space="preserve">Cuadro de información. Factor de evaluación de apoyo a la industria nacional (Ley 816/2003)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DILIGENCIAR EN EL CUADRO SIGUIENTE EL PORCENTAJE QUE APLICA PARA LOS SERVICIOS DE ORIGEN NACIONAL O EXTRANJERO OFRECIDOS EN LA PROPUESTA.</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tbl>
      <w:tblPr>
        <w:tblW w:w="8980" w:type="dxa"/>
        <w:jc w:val="center"/>
        <w:tblInd w:w="0" w:type="dxa"/>
        <w:tblLayout w:type="fixed"/>
        <w:tblCellMar>
          <w:top w:w="0" w:type="dxa"/>
          <w:left w:w="108" w:type="dxa"/>
          <w:bottom w:w="0" w:type="dxa"/>
          <w:right w:w="108" w:type="dxa"/>
        </w:tblCellMar>
      </w:tblPr>
      <w:tblGrid>
        <w:gridCol w:w="4490"/>
        <w:gridCol w:w="4489"/>
      </w:tblGrid>
      <w:tr>
        <w:trPr/>
        <w:tc>
          <w:tcPr>
            <w:tcW w:w="44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lang w:val="es-CO"/>
              </w:rPr>
            </w:pPr>
            <w:r>
              <w:rPr>
                <w:rFonts w:cs="Arial Narrow" w:ascii="Arial Narrow" w:hAnsi="Arial Narrow"/>
                <w:b/>
                <w:color w:val="000000"/>
                <w:lang w:val="es-CO"/>
              </w:rPr>
              <w:t>CRITERIO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lang w:val="es-CO"/>
              </w:rPr>
            </w:pPr>
            <w:r>
              <w:rPr>
                <w:rFonts w:cs="Arial Narrow" w:ascii="Arial Narrow" w:hAnsi="Arial Narrow"/>
                <w:b/>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Narrow" w:ascii="Arial Narrow" w:hAnsi="Arial Narrow"/>
                <w:color w:val="000000"/>
                <w:lang w:val="es-CO"/>
              </w:rPr>
              <w:t>Cuando el Proponente oferte servicios con personal 100% nacional, en lo correspondiente al objeto de</w:t>
            </w:r>
            <w:r>
              <w:rPr>
                <w:rFonts w:cs="Arial Narrow" w:ascii="Arial Narrow" w:hAnsi="Arial Narrow"/>
                <w:color w:val="000000"/>
                <w:lang w:val="es-ES"/>
              </w:rPr>
              <w:t>l presente proceso</w:t>
            </w:r>
            <w:r>
              <w:rPr>
                <w:rFonts w:cs="Arial Narrow" w:ascii="Arial Narrow" w:hAnsi="Arial Narrow"/>
                <w:color w:val="000000"/>
                <w:lang w:val="es-CO"/>
              </w:rPr>
              <w:t>.</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nacional y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bl>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left="-993" w:right="51"/>
        <w:jc w:val="both"/>
        <w:rPr>
          <w:rFonts w:ascii="Arial Narrow" w:hAnsi="Arial Narrow" w:eastAsia="Helvetica" w:cs="Arial Narrow"/>
          <w:b/>
          <w:color w:val="000000"/>
        </w:rPr>
      </w:pPr>
      <w:r>
        <w:rPr>
          <w:rFonts w:eastAsia="Helvetica" w:cs="Arial Narrow" w:ascii="Arial Narrow" w:hAnsi="Arial Narrow"/>
          <w:b/>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sectPr>
      <w:headerReference w:type="even" r:id="rId12"/>
      <w:headerReference w:type="default" r:id="rId13"/>
      <w:headerReference w:type="first" r:id="rId14"/>
      <w:footerReference w:type="even" r:id="rId15"/>
      <w:footerReference w:type="default" r:id="rId16"/>
      <w:footerReference w:type="first" r:id="rId17"/>
      <w:footnotePr>
        <w:numFmt w:val="decimal"/>
      </w:footnotePr>
      <w:type w:val="nextPage"/>
      <w:pgSz w:w="12240" w:h="18720"/>
      <w:pgMar w:left="2268" w:right="1134" w:gutter="0" w:header="709" w:top="1701" w:footer="1134" w:bottom="119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swiss"/>
    <w:pitch w:val="variable"/>
  </w:font>
  <w:font w:name="Cambria">
    <w:charset w:val="00"/>
    <w:family w:val="roman"/>
    <w:pitch w:val="variable"/>
  </w:font>
  <w:font w:name="Symbol">
    <w:charset w:val="00"/>
    <w:family w:val="roman"/>
    <w:pitch w:val="variable"/>
  </w:font>
  <w:font w:name="Courier New">
    <w:charset w:val="00"/>
    <w:family w:val="auto"/>
    <w:pitch w:val="variable"/>
  </w:font>
  <w:font w:name="Wingdings">
    <w:charset w:val="00"/>
    <w:family w:val="auto"/>
    <w:pitch w:val="variable"/>
  </w:font>
  <w:font w:name="Arial Negrita">
    <w:altName w:val="Times New Roman"/>
    <w:charset w:val="00"/>
    <w:family w:val="roman"/>
    <w:pitch w:val="variable"/>
  </w:font>
  <w:font w:name="OpenSymbol">
    <w:altName w:val="Arial Unicode MS"/>
    <w:charset w:val="00"/>
    <w:family w:val="roman"/>
    <w:pitch w:val="variable"/>
  </w:font>
  <w:font w:name="Tahoma">
    <w:charset w:val="00"/>
    <w:family w:val="swiss"/>
    <w:pitch w:val="variable"/>
  </w:font>
  <w:font w:name="Calibri">
    <w:charset w:val="00"/>
    <w:family w:val="swiss"/>
    <w:pitch w:val="variable"/>
  </w:font>
  <w:font w:name="Calibri Light">
    <w:altName w:val="Calibri"/>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42</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42</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42</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42</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Caracteresdenotaalpie"/>
        </w:rPr>
        <w:footnoteRef/>
      </w:r>
      <w:r>
        <w:rPr>
          <w:rFonts w:cs="Arial" w:ascii="Arial" w:hAnsi="Arial"/>
          <w:sz w:val="14"/>
          <w:szCs w:val="14"/>
        </w:rPr>
        <w:t>Colombia Compra Eficiente recomienda a las Entidades Estatales revisar el Manual para el manejo de los Acuerdos Comerciales en Procesos de contratación con el fin de verificar la cobertura de Acuerdos Comerciales, CAN y demás aspectos relevantes.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2111"/>
      <w:gridCol w:w="6252"/>
      <w:gridCol w:w="1844"/>
    </w:tblGrid>
    <w:tr>
      <w:trPr>
        <w:trHeight w:val="546" w:hRule="atLeast"/>
      </w:trPr>
      <w:tc>
        <w:tcPr>
          <w:tcW w:w="2111"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rFonts w:ascii="Arial Narrow" w:hAnsi="Arial Narrow" w:cs="Arial Narrow"/>
              <w:b/>
              <w:bCs/>
              <w:lang w:val="es-CO"/>
            </w:rPr>
          </w:pPr>
          <w:r>
            <w:rPr>
              <w:rFonts w:cs="Arial Narrow" w:ascii="Arial Narrow" w:hAnsi="Arial Narrow"/>
              <w:b/>
              <w:bCs/>
              <w:lang w:val="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00207" o:spid="shape_0" adj="10800" fillcolor="silver" stroked="f" o:allowincell="f" style="position:absolute;margin-left:-72.8pt;margin-top:321.8pt;width:587.45pt;height:40.45pt;mso-wrap-style:none;v-text-anchor:middle;rotation:315;mso-position-horizontal:center;mso-position-horizontal-relative:margin;mso-position-vertical:center;mso-position-vertical-relative:margin" type="_x0000_t136">
                <v:path textpathok="t"/>
                <v:textpath on="t" fitshape="t" string="PROYECTO DE PLIEGO DE CONDICIONES" style="font-family:&quot;Times New Roman&quot;;font-size:1pt" trim="t"/>
                <v:fill o:detectmouseclick="t" type="solid" color2="#3f3f3f" opacity="0.5"/>
                <v:stroke color="#3465a4" joinstyle="round" endcap="flat"/>
                <w10:wrap type="none"/>
              </v:shape>
            </w:pict>
            <w:drawing>
              <wp:anchor behindDoc="0" distT="0" distB="0" distL="0" distR="0" simplePos="0" locked="0" layoutInCell="0" allowOverlap="1" relativeHeight="89">
                <wp:simplePos x="0" y="0"/>
                <wp:positionH relativeFrom="column">
                  <wp:posOffset>0</wp:posOffset>
                </wp:positionH>
                <wp:positionV relativeFrom="paragraph">
                  <wp:posOffset>441960</wp:posOffset>
                </wp:positionV>
                <wp:extent cx="1239520" cy="313690"/>
                <wp:effectExtent l="0" t="0" r="0" b="0"/>
                <wp:wrapSquare wrapText="largest"/>
                <wp:docPr id="6"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descr=""/>
                        <pic:cNvPicPr>
                          <a:picLocks noChangeAspect="1" noChangeArrowheads="1"/>
                        </pic:cNvPicPr>
                      </pic:nvPicPr>
                      <pic:blipFill>
                        <a:blip r:embed="rId1"/>
                        <a:stretch>
                          <a:fillRect/>
                        </a:stretch>
                      </pic:blipFill>
                      <pic:spPr bwMode="auto">
                        <a:xfrm>
                          <a:off x="0" y="0"/>
                          <a:ext cx="1239520" cy="313690"/>
                        </a:xfrm>
                        <a:prstGeom prst="rect">
                          <a:avLst/>
                        </a:prstGeom>
                        <a:noFill/>
                      </pic:spPr>
                    </pic:pic>
                  </a:graphicData>
                </a:graphic>
              </wp:anchor>
            </w:drawing>
          </w:r>
        </w:p>
      </w:tc>
      <w:tc>
        <w:tcPr>
          <w:tcW w:w="6252"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Narrow"/>
              <w:b/>
              <w:bCs/>
              <w:sz w:val="20"/>
              <w:lang w:val="es-CO"/>
            </w:rPr>
          </w:pPr>
          <w:r>
            <w:rPr>
              <w:rFonts w:cs="Arial Narrow" w:ascii="Arial Narrow" w:hAnsi="Arial Narrow"/>
              <w:b/>
              <w:bCs/>
              <w:sz w:val="20"/>
              <w:lang w:val="es-CO"/>
            </w:rPr>
          </w:r>
        </w:p>
        <w:p>
          <w:pPr>
            <w:pStyle w:val="Header"/>
            <w:rPr>
              <w:rFonts w:ascii="Arial Narrow" w:hAnsi="Arial Narrow" w:cs="Arial Narrow"/>
              <w:b/>
              <w:bCs/>
              <w:sz w:val="20"/>
              <w:lang w:val="es-CO"/>
            </w:rPr>
          </w:pPr>
          <w:r>
            <w:rPr>
              <w:rFonts w:cs="Arial Narrow" w:ascii="Arial Narrow" w:hAnsi="Arial Narrow"/>
              <w:b/>
              <w:bCs/>
              <w:sz w:val="20"/>
              <w:lang w:val="es-CO"/>
            </w:rPr>
          </w:r>
        </w:p>
        <w:p>
          <w:pPr>
            <w:pStyle w:val="Normal"/>
            <w:jc w:val="center"/>
            <w:rPr/>
          </w:pPr>
          <w:r>
            <w:rPr>
              <w:rFonts w:cs="Arial Narrow" w:ascii="Arial Narrow" w:hAnsi="Arial Narrow"/>
              <w:b/>
              <w:sz w:val="20"/>
              <w:lang w:val="es-MX"/>
            </w:rPr>
            <w:t>INSTITUTO DE VIVIENDA DE INTERÉS SOCIAL Y REFORMA URBANA DEL MUNICIPIO DE BUCARAMANGA</w:t>
          </w:r>
        </w:p>
        <w:p>
          <w:pPr>
            <w:pStyle w:val="Normal"/>
            <w:jc w:val="center"/>
            <w:rPr>
              <w:rFonts w:ascii="Arial Narrow" w:hAnsi="Arial Narrow" w:cs="Arial Narrow"/>
              <w:b/>
              <w:sz w:val="20"/>
              <w:lang w:val="es-MX"/>
            </w:rPr>
          </w:pPr>
          <w:r>
            <w:rPr>
              <w:rFonts w:cs="Arial Narrow" w:ascii="Arial Narrow" w:hAnsi="Arial Narrow"/>
              <w:b/>
              <w:sz w:val="20"/>
              <w:lang w:val="es-MX"/>
            </w:rPr>
          </w:r>
        </w:p>
        <w:p>
          <w:pPr>
            <w:pStyle w:val="Normal"/>
            <w:jc w:val="center"/>
            <w:rPr>
              <w:rFonts w:ascii="Arial Narrow" w:hAnsi="Arial Narrow" w:cs="Arial"/>
              <w:b/>
            </w:rPr>
          </w:pPr>
          <w:r>
            <w:rPr>
              <w:rFonts w:cs="Arial" w:ascii="Arial Narrow" w:hAnsi="Arial Narrow"/>
              <w:b/>
            </w:rPr>
            <w:t>PLIEGO DE CONDICIONES DEFINITIVO</w:t>
          </w:r>
        </w:p>
        <w:p>
          <w:pPr>
            <w:pStyle w:val="Normal"/>
            <w:jc w:val="center"/>
            <w:rPr>
              <w:rFonts w:ascii="Arial Narrow" w:hAnsi="Arial Narrow" w:cs="Arial"/>
              <w:b/>
            </w:rPr>
          </w:pPr>
          <w:r>
            <w:rPr>
              <w:rFonts w:cs="Arial" w:ascii="Arial Narrow" w:hAnsi="Arial Narrow"/>
              <w:b/>
            </w:rPr>
            <w:t>CONCURSO DE MÉRITOS ABIERTO XXXX</w:t>
          </w:r>
        </w:p>
        <w:p>
          <w:pPr>
            <w:pStyle w:val="Normal"/>
            <w:jc w:val="center"/>
            <w:rPr>
              <w:rFonts w:ascii="Arial Narrow" w:hAnsi="Arial Narrow" w:cs="Arial"/>
              <w:b/>
              <w:sz w:val="20"/>
            </w:rPr>
          </w:pPr>
          <w:r>
            <w:rPr>
              <w:rFonts w:cs="Arial" w:ascii="Arial Narrow" w:hAnsi="Arial Narrow"/>
              <w:b/>
              <w:sz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w:b/>
              <w:sz w:val="16"/>
              <w:szCs w:val="16"/>
              <w:lang w:val="es-CO"/>
            </w:rPr>
          </w:pPr>
          <w:r>
            <w:rPr>
              <w:rFonts w:cs="Arial" w:ascii="Arial Narrow" w:hAnsi="Arial Narrow"/>
              <w:b/>
              <w:sz w:val="16"/>
              <w:szCs w:val="16"/>
              <w:lang w:val="es-CO"/>
            </w:rPr>
          </w:r>
        </w:p>
        <w:p>
          <w:pPr>
            <w:pStyle w:val="Header"/>
            <w:rPr>
              <w:rFonts w:ascii="Arial Narrow" w:hAnsi="Arial Narrow" w:cs="Arial"/>
              <w:sz w:val="16"/>
              <w:szCs w:val="16"/>
              <w:lang w:val="es-CO"/>
            </w:rPr>
          </w:pPr>
          <w:r>
            <w:rPr>
              <w:rFonts w:cs="Arial" w:ascii="Arial Narrow" w:hAnsi="Arial Narrow"/>
              <w:sz w:val="16"/>
              <w:szCs w:val="16"/>
              <w:lang w:val="es-CO"/>
            </w:rPr>
            <w:t>F32.PO.GC</w:t>
          </w:r>
        </w:p>
      </w:tc>
    </w:tr>
    <w:tr>
      <w:trPr>
        <w:trHeight w:val="495" w:hRule="atLeast"/>
      </w:trPr>
      <w:tc>
        <w:tcPr>
          <w:tcW w:w="211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Narrow" w:hAnsi="Arial Narrow" w:cs="Arial Narrow"/>
              <w:b/>
              <w:bCs/>
              <w:sz w:val="16"/>
              <w:szCs w:val="16"/>
              <w:lang w:val="es-ES" w:eastAsia="es-CO"/>
            </w:rPr>
          </w:pPr>
          <w:r>
            <w:rPr>
              <w:rFonts w:cs="Arial Narrow" w:ascii="Arial Narrow" w:hAnsi="Arial Narrow"/>
              <w:b/>
              <w:bCs/>
              <w:sz w:val="16"/>
              <w:szCs w:val="16"/>
              <w:lang w:val="es-ES" w:eastAsia="es-CO"/>
            </w:rPr>
          </w:r>
        </w:p>
      </w:tc>
      <w:tc>
        <w:tcPr>
          <w:tcW w:w="625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w:b/>
              <w:sz w:val="16"/>
              <w:szCs w:val="16"/>
              <w:lang w:val="es-CO"/>
            </w:rPr>
          </w:pPr>
          <w:r>
            <w:rPr>
              <w:rFonts w:cs="Arial" w:ascii="Arial Narrow" w:hAnsi="Arial Narrow"/>
              <w:b/>
              <w:sz w:val="16"/>
              <w:szCs w:val="16"/>
              <w:lang w:val="es-CO"/>
            </w:rPr>
          </w:r>
        </w:p>
        <w:p>
          <w:pPr>
            <w:pStyle w:val="Header"/>
            <w:rPr>
              <w:rFonts w:ascii="Arial Narrow" w:hAnsi="Arial Narrow" w:cs="Arial"/>
              <w:sz w:val="16"/>
              <w:szCs w:val="16"/>
              <w:lang w:val="es-CO"/>
            </w:rPr>
          </w:pPr>
          <w:r>
            <w:rPr>
              <w:rFonts w:cs="Arial" w:ascii="Arial Narrow" w:hAnsi="Arial Narrow"/>
              <w:sz w:val="16"/>
              <w:szCs w:val="16"/>
              <w:lang w:val="es-CO"/>
            </w:rPr>
            <w:t>Versión: 2.0</w:t>
          </w:r>
        </w:p>
        <w:p>
          <w:pPr>
            <w:pStyle w:val="Header"/>
            <w:rPr>
              <w:rFonts w:ascii="Arial Narrow" w:hAnsi="Arial Narrow" w:cs="Arial"/>
              <w:sz w:val="16"/>
              <w:szCs w:val="16"/>
              <w:lang w:val="es-CO"/>
            </w:rPr>
          </w:pPr>
          <w:r>
            <w:rPr>
              <w:rFonts w:cs="Arial" w:ascii="Arial Narrow" w:hAnsi="Arial Narrow"/>
              <w:sz w:val="16"/>
              <w:szCs w:val="16"/>
              <w:lang w:val="es-CO"/>
            </w:rPr>
          </w:r>
        </w:p>
      </w:tc>
    </w:tr>
    <w:tr>
      <w:trPr>
        <w:trHeight w:val="585" w:hRule="atLeast"/>
      </w:trPr>
      <w:tc>
        <w:tcPr>
          <w:tcW w:w="211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Narrow" w:hAnsi="Arial Narrow" w:cs="Arial"/>
              <w:b/>
              <w:bCs/>
              <w:sz w:val="16"/>
              <w:szCs w:val="16"/>
              <w:lang w:val="es-ES" w:eastAsia="es-CO"/>
            </w:rPr>
          </w:pPr>
          <w:r>
            <w:rPr>
              <w:rFonts w:cs="Arial" w:ascii="Arial Narrow" w:hAnsi="Arial Narrow"/>
              <w:b/>
              <w:bCs/>
              <w:sz w:val="16"/>
              <w:szCs w:val="16"/>
              <w:lang w:val="es-ES" w:eastAsia="es-CO"/>
            </w:rPr>
          </w:r>
        </w:p>
      </w:tc>
      <w:tc>
        <w:tcPr>
          <w:tcW w:w="625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w:b/>
              <w:sz w:val="16"/>
              <w:szCs w:val="16"/>
              <w:lang w:val="es-CO"/>
            </w:rPr>
          </w:pPr>
          <w:r>
            <w:rPr>
              <w:rFonts w:cs="Arial" w:ascii="Arial Narrow" w:hAnsi="Arial Narrow"/>
              <w:b/>
              <w:sz w:val="16"/>
              <w:szCs w:val="16"/>
              <w:lang w:val="es-CO"/>
            </w:rPr>
          </w:r>
        </w:p>
        <w:p>
          <w:pPr>
            <w:pStyle w:val="Header"/>
            <w:rPr>
              <w:rFonts w:ascii="Arial Narrow" w:hAnsi="Arial Narrow" w:cs="Arial"/>
              <w:sz w:val="16"/>
              <w:szCs w:val="16"/>
              <w:lang w:val="es-CO"/>
            </w:rPr>
          </w:pPr>
          <w:r>
            <w:rPr>
              <w:rFonts w:cs="Arial" w:ascii="Arial Narrow" w:hAnsi="Arial Narrow"/>
              <w:sz w:val="16"/>
              <w:szCs w:val="16"/>
              <w:lang w:val="es-CO"/>
            </w:rPr>
            <w:t xml:space="preserve">Fecha: </w:t>
          </w:r>
          <w:r>
            <w:rPr>
              <w:rFonts w:cs="Arial" w:ascii="Arial Narrow" w:hAnsi="Arial Narrow"/>
              <w:sz w:val="16"/>
              <w:szCs w:val="16"/>
              <w:lang w:val="es-ES"/>
            </w:rPr>
            <w:t>27.01.17</w:t>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2111"/>
      <w:gridCol w:w="6252"/>
      <w:gridCol w:w="1844"/>
    </w:tblGrid>
    <w:tr>
      <w:trPr>
        <w:trHeight w:val="546" w:hRule="atLeast"/>
      </w:trPr>
      <w:tc>
        <w:tcPr>
          <w:tcW w:w="2111"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rFonts w:ascii="Arial Narrow" w:hAnsi="Arial Narrow" w:cs="Arial Narrow"/>
              <w:b/>
              <w:bCs/>
              <w:lang w:val="es-CO"/>
            </w:rPr>
          </w:pPr>
          <w:r>
            <w:rPr>
              <w:rFonts w:cs="Arial Narrow" w:ascii="Arial Narrow" w:hAnsi="Arial Narrow"/>
              <w:b/>
              <w:bCs/>
              <w:lang w:val="es-CO"/>
            </w:rPr>
            <w:pict>
              <v:shape id="PowerPlusWaterMarkObject519600207" o:spid="shape_0" adj="10800" fillcolor="silver" stroked="f" o:allowincell="f" style="position:absolute;margin-left:-72.8pt;margin-top:321.8pt;width:587.45pt;height:40.45pt;mso-wrap-style:none;v-text-anchor:middle;rotation:315;mso-position-horizontal:center;mso-position-horizontal-relative:margin;mso-position-vertical:center;mso-position-vertical-relative:margin" type="_x0000_t136">
                <v:path textpathok="t"/>
                <v:textpath on="t" fitshape="t" string="PROYECTO DE PLIEGO DE CONDICIONES" style="font-family:&quot;Times New Roman&quot;;font-size:1pt" trim="t"/>
                <v:fill o:detectmouseclick="t" type="solid" color2="#3f3f3f" opacity="0.5"/>
                <v:stroke color="#3465a4" joinstyle="round" endcap="flat"/>
                <w10:wrap type="none"/>
              </v:shape>
            </w:pict>
            <w:drawing>
              <wp:anchor behindDoc="0" distT="0" distB="0" distL="0" distR="0" simplePos="0" locked="0" layoutInCell="0" allowOverlap="1" relativeHeight="89">
                <wp:simplePos x="0" y="0"/>
                <wp:positionH relativeFrom="column">
                  <wp:posOffset>0</wp:posOffset>
                </wp:positionH>
                <wp:positionV relativeFrom="paragraph">
                  <wp:posOffset>441960</wp:posOffset>
                </wp:positionV>
                <wp:extent cx="1239520" cy="313690"/>
                <wp:effectExtent l="0" t="0" r="0" b="0"/>
                <wp:wrapSquare wrapText="largest"/>
                <wp:docPr id="8"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3" descr=""/>
                        <pic:cNvPicPr>
                          <a:picLocks noChangeAspect="1" noChangeArrowheads="1"/>
                        </pic:cNvPicPr>
                      </pic:nvPicPr>
                      <pic:blipFill>
                        <a:blip r:embed="rId1"/>
                        <a:stretch>
                          <a:fillRect/>
                        </a:stretch>
                      </pic:blipFill>
                      <pic:spPr bwMode="auto">
                        <a:xfrm>
                          <a:off x="0" y="0"/>
                          <a:ext cx="1239520" cy="313690"/>
                        </a:xfrm>
                        <a:prstGeom prst="rect">
                          <a:avLst/>
                        </a:prstGeom>
                        <a:noFill/>
                      </pic:spPr>
                    </pic:pic>
                  </a:graphicData>
                </a:graphic>
              </wp:anchor>
            </w:drawing>
          </w:r>
        </w:p>
      </w:tc>
      <w:tc>
        <w:tcPr>
          <w:tcW w:w="6252"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Narrow"/>
              <w:b/>
              <w:bCs/>
              <w:sz w:val="20"/>
              <w:lang w:val="es-CO"/>
            </w:rPr>
          </w:pPr>
          <w:r>
            <w:rPr>
              <w:rFonts w:cs="Arial Narrow" w:ascii="Arial Narrow" w:hAnsi="Arial Narrow"/>
              <w:b/>
              <w:bCs/>
              <w:sz w:val="20"/>
              <w:lang w:val="es-CO"/>
            </w:rPr>
          </w:r>
        </w:p>
        <w:p>
          <w:pPr>
            <w:pStyle w:val="Header"/>
            <w:rPr>
              <w:rFonts w:ascii="Arial Narrow" w:hAnsi="Arial Narrow" w:cs="Arial Narrow"/>
              <w:b/>
              <w:bCs/>
              <w:sz w:val="20"/>
              <w:lang w:val="es-CO"/>
            </w:rPr>
          </w:pPr>
          <w:r>
            <w:rPr>
              <w:rFonts w:cs="Arial Narrow" w:ascii="Arial Narrow" w:hAnsi="Arial Narrow"/>
              <w:b/>
              <w:bCs/>
              <w:sz w:val="20"/>
              <w:lang w:val="es-CO"/>
            </w:rPr>
          </w:r>
        </w:p>
        <w:p>
          <w:pPr>
            <w:pStyle w:val="Normal"/>
            <w:jc w:val="center"/>
            <w:rPr/>
          </w:pPr>
          <w:r>
            <w:rPr>
              <w:rFonts w:cs="Arial Narrow" w:ascii="Arial Narrow" w:hAnsi="Arial Narrow"/>
              <w:b/>
              <w:sz w:val="20"/>
              <w:lang w:val="es-MX"/>
            </w:rPr>
            <w:t>INSTITUTO DE VIVIENDA DE INTERÉS SOCIAL Y REFORMA URBANA DEL MUNICIPIO DE BUCARAMANGA</w:t>
          </w:r>
        </w:p>
        <w:p>
          <w:pPr>
            <w:pStyle w:val="Normal"/>
            <w:jc w:val="center"/>
            <w:rPr>
              <w:rFonts w:ascii="Arial Narrow" w:hAnsi="Arial Narrow" w:cs="Arial Narrow"/>
              <w:b/>
              <w:sz w:val="20"/>
              <w:lang w:val="es-MX"/>
            </w:rPr>
          </w:pPr>
          <w:r>
            <w:rPr>
              <w:rFonts w:cs="Arial Narrow" w:ascii="Arial Narrow" w:hAnsi="Arial Narrow"/>
              <w:b/>
              <w:sz w:val="20"/>
              <w:lang w:val="es-MX"/>
            </w:rPr>
          </w:r>
        </w:p>
        <w:p>
          <w:pPr>
            <w:pStyle w:val="Normal"/>
            <w:jc w:val="center"/>
            <w:rPr>
              <w:rFonts w:ascii="Arial Narrow" w:hAnsi="Arial Narrow" w:cs="Arial"/>
              <w:b/>
            </w:rPr>
          </w:pPr>
          <w:r>
            <w:rPr>
              <w:rFonts w:cs="Arial" w:ascii="Arial Narrow" w:hAnsi="Arial Narrow"/>
              <w:b/>
            </w:rPr>
            <w:t>PLIEGO DE CONDICIONES DEFINITIVO</w:t>
          </w:r>
        </w:p>
        <w:p>
          <w:pPr>
            <w:pStyle w:val="Normal"/>
            <w:jc w:val="center"/>
            <w:rPr>
              <w:rFonts w:ascii="Arial Narrow" w:hAnsi="Arial Narrow" w:cs="Arial"/>
              <w:b/>
            </w:rPr>
          </w:pPr>
          <w:r>
            <w:rPr>
              <w:rFonts w:cs="Arial" w:ascii="Arial Narrow" w:hAnsi="Arial Narrow"/>
              <w:b/>
            </w:rPr>
            <w:t>CONCURSO DE MÉRITOS ABIERTO XXXX</w:t>
          </w:r>
        </w:p>
        <w:p>
          <w:pPr>
            <w:pStyle w:val="Normal"/>
            <w:jc w:val="center"/>
            <w:rPr>
              <w:rFonts w:ascii="Arial Narrow" w:hAnsi="Arial Narrow" w:cs="Arial"/>
              <w:b/>
              <w:sz w:val="20"/>
            </w:rPr>
          </w:pPr>
          <w:r>
            <w:rPr>
              <w:rFonts w:cs="Arial" w:ascii="Arial Narrow" w:hAnsi="Arial Narrow"/>
              <w:b/>
              <w:sz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w:b/>
              <w:sz w:val="16"/>
              <w:szCs w:val="16"/>
              <w:lang w:val="es-CO"/>
            </w:rPr>
          </w:pPr>
          <w:r>
            <w:rPr>
              <w:rFonts w:cs="Arial" w:ascii="Arial Narrow" w:hAnsi="Arial Narrow"/>
              <w:b/>
              <w:sz w:val="16"/>
              <w:szCs w:val="16"/>
              <w:lang w:val="es-CO"/>
            </w:rPr>
          </w:r>
        </w:p>
        <w:p>
          <w:pPr>
            <w:pStyle w:val="Header"/>
            <w:rPr>
              <w:rFonts w:ascii="Arial Narrow" w:hAnsi="Arial Narrow" w:cs="Arial"/>
              <w:sz w:val="16"/>
              <w:szCs w:val="16"/>
              <w:lang w:val="es-CO"/>
            </w:rPr>
          </w:pPr>
          <w:r>
            <w:rPr>
              <w:rFonts w:cs="Arial" w:ascii="Arial Narrow" w:hAnsi="Arial Narrow"/>
              <w:sz w:val="16"/>
              <w:szCs w:val="16"/>
              <w:lang w:val="es-CO"/>
            </w:rPr>
            <w:t>F32.PO.GC</w:t>
          </w:r>
        </w:p>
      </w:tc>
    </w:tr>
    <w:tr>
      <w:trPr>
        <w:trHeight w:val="495" w:hRule="atLeast"/>
      </w:trPr>
      <w:tc>
        <w:tcPr>
          <w:tcW w:w="211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Narrow" w:hAnsi="Arial Narrow" w:cs="Arial Narrow"/>
              <w:b/>
              <w:bCs/>
              <w:sz w:val="16"/>
              <w:szCs w:val="16"/>
              <w:lang w:val="es-ES" w:eastAsia="es-CO"/>
            </w:rPr>
          </w:pPr>
          <w:r>
            <w:rPr>
              <w:rFonts w:cs="Arial Narrow" w:ascii="Arial Narrow" w:hAnsi="Arial Narrow"/>
              <w:b/>
              <w:bCs/>
              <w:sz w:val="16"/>
              <w:szCs w:val="16"/>
              <w:lang w:val="es-ES" w:eastAsia="es-CO"/>
            </w:rPr>
          </w:r>
        </w:p>
      </w:tc>
      <w:tc>
        <w:tcPr>
          <w:tcW w:w="625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w:b/>
              <w:sz w:val="16"/>
              <w:szCs w:val="16"/>
              <w:lang w:val="es-CO"/>
            </w:rPr>
          </w:pPr>
          <w:r>
            <w:rPr>
              <w:rFonts w:cs="Arial" w:ascii="Arial Narrow" w:hAnsi="Arial Narrow"/>
              <w:b/>
              <w:sz w:val="16"/>
              <w:szCs w:val="16"/>
              <w:lang w:val="es-CO"/>
            </w:rPr>
          </w:r>
        </w:p>
        <w:p>
          <w:pPr>
            <w:pStyle w:val="Header"/>
            <w:rPr>
              <w:rFonts w:ascii="Arial Narrow" w:hAnsi="Arial Narrow" w:cs="Arial"/>
              <w:sz w:val="16"/>
              <w:szCs w:val="16"/>
              <w:lang w:val="es-CO"/>
            </w:rPr>
          </w:pPr>
          <w:r>
            <w:rPr>
              <w:rFonts w:cs="Arial" w:ascii="Arial Narrow" w:hAnsi="Arial Narrow"/>
              <w:sz w:val="16"/>
              <w:szCs w:val="16"/>
              <w:lang w:val="es-CO"/>
            </w:rPr>
            <w:t>Versión: 2.0</w:t>
          </w:r>
        </w:p>
        <w:p>
          <w:pPr>
            <w:pStyle w:val="Header"/>
            <w:rPr>
              <w:rFonts w:ascii="Arial Narrow" w:hAnsi="Arial Narrow" w:cs="Arial"/>
              <w:sz w:val="16"/>
              <w:szCs w:val="16"/>
              <w:lang w:val="es-CO"/>
            </w:rPr>
          </w:pPr>
          <w:r>
            <w:rPr>
              <w:rFonts w:cs="Arial" w:ascii="Arial Narrow" w:hAnsi="Arial Narrow"/>
              <w:sz w:val="16"/>
              <w:szCs w:val="16"/>
              <w:lang w:val="es-CO"/>
            </w:rPr>
          </w:r>
        </w:p>
      </w:tc>
    </w:tr>
    <w:tr>
      <w:trPr>
        <w:trHeight w:val="585" w:hRule="atLeast"/>
      </w:trPr>
      <w:tc>
        <w:tcPr>
          <w:tcW w:w="211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Narrow" w:hAnsi="Arial Narrow" w:cs="Arial"/>
              <w:b/>
              <w:bCs/>
              <w:sz w:val="16"/>
              <w:szCs w:val="16"/>
              <w:lang w:val="es-ES" w:eastAsia="es-CO"/>
            </w:rPr>
          </w:pPr>
          <w:r>
            <w:rPr>
              <w:rFonts w:cs="Arial" w:ascii="Arial Narrow" w:hAnsi="Arial Narrow"/>
              <w:b/>
              <w:bCs/>
              <w:sz w:val="16"/>
              <w:szCs w:val="16"/>
              <w:lang w:val="es-ES" w:eastAsia="es-CO"/>
            </w:rPr>
          </w:r>
        </w:p>
      </w:tc>
      <w:tc>
        <w:tcPr>
          <w:tcW w:w="625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Narrow" w:hAnsi="Arial Narrow" w:cs="Arial"/>
              <w:b/>
              <w:sz w:val="16"/>
              <w:szCs w:val="16"/>
              <w:lang w:val="es-CO"/>
            </w:rPr>
          </w:pPr>
          <w:r>
            <w:rPr>
              <w:rFonts w:cs="Arial" w:ascii="Arial Narrow" w:hAnsi="Arial Narrow"/>
              <w:b/>
              <w:sz w:val="16"/>
              <w:szCs w:val="16"/>
              <w:lang w:val="es-CO"/>
            </w:rPr>
          </w:r>
        </w:p>
        <w:p>
          <w:pPr>
            <w:pStyle w:val="Header"/>
            <w:rPr>
              <w:rFonts w:ascii="Arial Narrow" w:hAnsi="Arial Narrow" w:cs="Arial"/>
              <w:sz w:val="16"/>
              <w:szCs w:val="16"/>
              <w:lang w:val="es-CO"/>
            </w:rPr>
          </w:pPr>
          <w:r>
            <w:rPr>
              <w:rFonts w:cs="Arial" w:ascii="Arial Narrow" w:hAnsi="Arial Narrow"/>
              <w:sz w:val="16"/>
              <w:szCs w:val="16"/>
              <w:lang w:val="es-CO"/>
            </w:rPr>
            <w:t xml:space="preserve">Fecha: </w:t>
          </w:r>
          <w:r>
            <w:rPr>
              <w:rFonts w:cs="Arial" w:ascii="Arial Narrow" w:hAnsi="Arial Narrow"/>
              <w:sz w:val="16"/>
              <w:szCs w:val="16"/>
              <w:lang w:val="es-ES"/>
            </w:rPr>
            <w:t>27.01.17</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64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upperLetter"/>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Figura %1."/>
      <w:lvlJc w:val="left"/>
      <w:pPr>
        <w:tabs>
          <w:tab w:val="num" w:pos="0"/>
        </w:tabs>
        <w:ind w:left="720" w:hanging="360"/>
      </w:pPr>
      <w:rPr>
        <w:sz w:val="20"/>
        <w:i/>
        <w:b w:val="false"/>
        <w:rFonts w:ascii="Arial Negrita;Times New Roman" w:hAnsi="Arial Negrita;Times New Roman" w:cs="Arial Negrita;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efaultTabStop w:val="709"/>
  <w:autoHyphenation w:val="true"/>
  <w:hyphenationZone w:val="360"/>
  <w:footnotePr>
    <w:numFmt w:val="decimal"/>
    <w:footnote w:id="0"/>
    <w:footnote w:id="1"/>
  </w:footnotePr>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C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333333"/>
      <w:kern w:val="0"/>
      <w:sz w:val="24"/>
      <w:szCs w:val="24"/>
      <w:lang w:val="es-CO" w:eastAsia="zh-CN" w:bidi="ar-SA"/>
    </w:rPr>
  </w:style>
  <w:style w:type="paragraph" w:styleId="Heading1">
    <w:name w:val="heading 1"/>
    <w:basedOn w:val="Normal"/>
    <w:next w:val="Normal"/>
    <w:qFormat/>
    <w:pPr>
      <w:numPr>
        <w:ilvl w:val="0"/>
        <w:numId w:val="1"/>
      </w:numPr>
      <w:spacing w:lineRule="auto" w:line="276"/>
      <w:outlineLvl w:val="0"/>
    </w:pPr>
    <w:rPr>
      <w:rFonts w:ascii="Arial Narrow" w:hAnsi="Arial Narrow" w:cs="Arial Narrow"/>
      <w:b/>
      <w:bCs/>
      <w:color w:val="000000"/>
      <w:sz w:val="20"/>
      <w:szCs w:val="20"/>
      <w:lang w:val="es-CO"/>
    </w:rPr>
  </w:style>
  <w:style w:type="paragraph" w:styleId="Heading2">
    <w:name w:val="heading 2"/>
    <w:basedOn w:val="Normal"/>
    <w:next w:val="Normal"/>
    <w:qFormat/>
    <w:pPr>
      <w:numPr>
        <w:ilvl w:val="1"/>
        <w:numId w:val="1"/>
      </w:numPr>
      <w:spacing w:lineRule="auto" w:line="276"/>
      <w:outlineLvl w:val="1"/>
    </w:pPr>
    <w:rPr>
      <w:rFonts w:ascii="Arial Narrow" w:hAnsi="Arial Narrow" w:cs="Arial Narrow"/>
      <w:b/>
      <w:bCs/>
      <w:color w:val="000000"/>
      <w:sz w:val="20"/>
      <w:szCs w:val="20"/>
      <w:lang w:val="es-CO"/>
    </w:rPr>
  </w:style>
  <w:style w:type="paragraph" w:styleId="Heading3">
    <w:name w:val="heading 3"/>
    <w:basedOn w:val="Normal"/>
    <w:next w:val="Normal"/>
    <w:qFormat/>
    <w:pPr>
      <w:numPr>
        <w:ilvl w:val="2"/>
        <w:numId w:val="1"/>
      </w:numPr>
      <w:spacing w:lineRule="auto" w:line="276"/>
      <w:outlineLvl w:val="2"/>
    </w:pPr>
    <w:rPr>
      <w:rFonts w:ascii="Arial Narrow" w:hAnsi="Arial Narrow" w:cs="Arial Narrow"/>
      <w:b/>
      <w:bCs/>
      <w:color w:val="000000"/>
      <w:sz w:val="20"/>
      <w:szCs w:val="20"/>
      <w:lang w:val="es-CO"/>
    </w:rPr>
  </w:style>
  <w:style w:type="paragraph" w:styleId="Heading4">
    <w:name w:val="heading 4"/>
    <w:basedOn w:val="Heading5"/>
    <w:next w:val="Normal"/>
    <w:qFormat/>
    <w:pPr>
      <w:numPr>
        <w:ilvl w:val="3"/>
        <w:numId w:val="1"/>
      </w:numPr>
      <w:spacing w:lineRule="auto" w:line="276"/>
      <w:outlineLvl w:val="3"/>
    </w:pPr>
    <w:rPr>
      <w:color w:val="000000"/>
      <w:lang w:val="es-CO"/>
    </w:rPr>
  </w:style>
  <w:style w:type="paragraph" w:styleId="Heading5">
    <w:name w:val="heading 5"/>
    <w:basedOn w:val="Normal"/>
    <w:next w:val="Normal"/>
    <w:qFormat/>
    <w:pPr>
      <w:numPr>
        <w:ilvl w:val="4"/>
        <w:numId w:val="1"/>
      </w:numPr>
      <w:jc w:val="both"/>
      <w:outlineLvl w:val="4"/>
    </w:pPr>
    <w:rPr>
      <w:rFonts w:ascii="Arial" w:hAnsi="Arial" w:eastAsia="Helvetica" w:cs="Arial"/>
      <w:b/>
      <w:color w:val="000000"/>
      <w:sz w:val="20"/>
      <w:szCs w:val="2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cs="Cambria"/>
      <w:i/>
      <w:iCs/>
      <w:color w:val="243F60"/>
      <w:lang w:val="es-CO"/>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cs="Cambria"/>
      <w:i/>
      <w:iCs/>
      <w:color w:val="404040"/>
      <w:lang w:val="es-CO"/>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cs="Cambria"/>
      <w:color w:val="404040"/>
      <w:sz w:val="20"/>
      <w:szCs w:val="20"/>
      <w:lang w:val="es-CO"/>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cs="Cambria"/>
      <w:i/>
      <w:iCs/>
      <w:color w:val="404040"/>
      <w:sz w:val="20"/>
      <w:szCs w:val="20"/>
      <w:lang w:val="es-CO"/>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5z0">
    <w:name w:val="WW8Num5z0"/>
    <w:qFormat/>
    <w:rPr/>
  </w:style>
  <w:style w:type="character" w:styleId="WW8Num6z0">
    <w:name w:val="WW8Num6z0"/>
    <w:qFormat/>
    <w:rPr>
      <w:b/>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10z0">
    <w:name w:val="WW8Num10z0"/>
    <w:qFormat/>
    <w:rPr/>
  </w:style>
  <w:style w:type="character" w:styleId="WW8Num11z0">
    <w:name w:val="WW8Num11z0"/>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style>
  <w:style w:type="character" w:styleId="WW8Num13z0">
    <w:name w:val="WW8Num13z0"/>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6z0">
    <w:name w:val="WW8Num16z0"/>
    <w:qFormat/>
    <w:rPr>
      <w:b/>
    </w:rPr>
  </w:style>
  <w:style w:type="character" w:styleId="WW8Num17z0">
    <w:name w:val="WW8Num17z0"/>
    <w:qFormat/>
    <w:rPr>
      <w:b/>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b/>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b/>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Arial Negrita;Times New Roman" w:hAnsi="Arial Negrita;Times New Roman" w:cs="Arial Negrita;Times New Roman"/>
      <w:b w:val="false"/>
      <w:i/>
      <w:sz w:val="20"/>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Wingdings" w:hAnsi="Wingdings" w:cs="Wingdings"/>
    </w:rPr>
  </w:style>
  <w:style w:type="character" w:styleId="WW8Num31z1">
    <w:name w:val="WW8Num31z1"/>
    <w:qFormat/>
    <w:rPr>
      <w:rFonts w:ascii="Courier New" w:hAnsi="Courier New" w:cs="Courier New"/>
    </w:rPr>
  </w:style>
  <w:style w:type="character" w:styleId="WW8Num31z3">
    <w:name w:val="WW8Num31z3"/>
    <w:qFormat/>
    <w:rPr>
      <w:rFonts w:ascii="Symbol" w:hAnsi="Symbol" w:cs="Symbol"/>
    </w:rPr>
  </w:style>
  <w:style w:type="character" w:styleId="WW8Num32z0">
    <w:name w:val="WW8Num32z0"/>
    <w:qFormat/>
    <w:rPr/>
  </w:style>
  <w:style w:type="character" w:styleId="WW8Num33z0">
    <w:name w:val="WW8Num33z0"/>
    <w:qFormat/>
    <w:rPr/>
  </w:style>
  <w:style w:type="character" w:styleId="WW8Num34z0">
    <w:name w:val="WW8Num34z0"/>
    <w:qFormat/>
    <w:rPr/>
  </w:style>
  <w:style w:type="character" w:styleId="WW8Num35z0">
    <w:name w:val="WW8Num35z0"/>
    <w:qFormat/>
    <w:rPr>
      <w:b/>
    </w:rPr>
  </w:style>
  <w:style w:type="character" w:styleId="Fuentedeprrafopredeter">
    <w:name w:val="Fuente de párrafo predeter."/>
    <w:qFormat/>
    <w:rPr/>
  </w:style>
  <w:style w:type="character" w:styleId="Ttulo2Car">
    <w:name w:val="Título 2 Car"/>
    <w:qFormat/>
    <w:rPr>
      <w:rFonts w:ascii="Arial Narrow" w:hAnsi="Arial Narrow" w:eastAsia="Times New Roman" w:cs="Arial"/>
      <w:b/>
      <w:bCs/>
    </w:rPr>
  </w:style>
  <w:style w:type="character" w:styleId="Ttulo3Car">
    <w:name w:val="Título 3 Car"/>
    <w:qFormat/>
    <w:rPr>
      <w:rFonts w:ascii="Arial Narrow" w:hAnsi="Arial Narrow" w:eastAsia="Times New Roman" w:cs="Arial"/>
      <w:b/>
      <w:bCs/>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1">
    <w:name w:val="WW8Num12z1"/>
    <w:qFormat/>
    <w:rPr>
      <w:rFonts w:ascii="Courier New" w:hAnsi="Courier New" w:cs="Courier New"/>
    </w:rPr>
  </w:style>
  <w:style w:type="character" w:styleId="WW8Num13z1">
    <w:name w:val="WW8Num13z1"/>
    <w:qFormat/>
    <w:rPr>
      <w:rFonts w:ascii="Courier New" w:hAnsi="Courier New" w:cs="Courier New"/>
    </w:rPr>
  </w:style>
  <w:style w:type="character" w:styleId="Absatz-Standardschriftart">
    <w:name w:val="Absatz-Standardschriftart"/>
    <w:qFormat/>
    <w:rPr/>
  </w:style>
  <w:style w:type="character" w:styleId="WW-Absatz-Standardschriftart">
    <w:name w:val="WW-Absatz-Standardschriftart"/>
    <w:qFormat/>
    <w:rPr/>
  </w:style>
  <w:style w:type="character" w:styleId="WW8Num12z2">
    <w:name w:val="WW8Num12z2"/>
    <w:qFormat/>
    <w:rPr>
      <w:rFonts w:ascii="Wingdings" w:hAnsi="Wingdings" w:cs="Wingdings"/>
    </w:rPr>
  </w:style>
  <w:style w:type="character" w:styleId="WW-Absatz-Standardschriftart1">
    <w:name w:val="WW-Absatz-Standardschriftart1"/>
    <w:qFormat/>
    <w:rPr/>
  </w:style>
  <w:style w:type="character" w:styleId="WW8Num1z1">
    <w:name w:val="WW8Num1z1"/>
    <w:qFormat/>
    <w:rPr>
      <w:rFonts w:ascii="Courier New" w:hAnsi="Courier New" w:cs="Courier New"/>
    </w:rPr>
  </w:style>
  <w:style w:type="character" w:styleId="WW8Num13z2">
    <w:name w:val="WW8Num13z2"/>
    <w:qFormat/>
    <w:rPr>
      <w:rFonts w:ascii="Wingdings" w:hAnsi="Wingdings" w:cs="Wingdings"/>
    </w:rPr>
  </w:style>
  <w:style w:type="character" w:styleId="WW8Num15z1">
    <w:name w:val="WW8Num15z1"/>
    <w:qFormat/>
    <w:rPr>
      <w:rFonts w:ascii="OpenSymbol;Courier New" w:hAnsi="OpenSymbol;Courier New" w:cs="OpenSymbol;Courier New"/>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Fuentedeprrafopredeter1">
    <w:name w:val="Fuente de párrafo predeter.1"/>
    <w:qFormat/>
    <w:rPr/>
  </w:style>
  <w:style w:type="character" w:styleId="EncabezadoCar">
    <w:name w:val="Encabezado Car"/>
    <w:qFormat/>
    <w:rPr>
      <w:sz w:val="24"/>
      <w:szCs w:val="24"/>
      <w:lang w:val="es-ES" w:bidi="ar-SA"/>
    </w:rPr>
  </w:style>
  <w:style w:type="character" w:styleId="Hyperlink">
    <w:name w:val="Hyperlink"/>
    <w:rPr>
      <w:color w:val="0000FF"/>
      <w:u w:val="single"/>
    </w:rPr>
  </w:style>
  <w:style w:type="character" w:styleId="PageNumber">
    <w:name w:val="page number"/>
    <w:basedOn w:val="Fuentedeprrafopredeter1"/>
    <w:rPr/>
  </w:style>
  <w:style w:type="character" w:styleId="Carcterdenumeracin">
    <w:name w:val="Carácter de numeración"/>
    <w:qFormat/>
    <w:rPr/>
  </w:style>
  <w:style w:type="character" w:styleId="a9">
    <w:name w:val="a9"/>
    <w:qFormat/>
    <w:rPr/>
  </w:style>
  <w:style w:type="character" w:styleId="Vietas">
    <w:name w:val="Viñetas"/>
    <w:qFormat/>
    <w:rPr>
      <w:rFonts w:ascii="OpenSymbol;Courier New" w:hAnsi="OpenSymbol;Courier New" w:eastAsia="OpenSymbol;Courier New" w:cs="OpenSymbol;Courier New"/>
    </w:rPr>
  </w:style>
  <w:style w:type="character" w:styleId="TextoindependienteCar">
    <w:name w:val="Texto independiente Car"/>
    <w:qFormat/>
    <w:rPr>
      <w:rFonts w:ascii="Times New Roman" w:hAnsi="Times New Roman" w:eastAsia="Times New Roman" w:cs="Times New Roman"/>
      <w:color w:val="333333"/>
      <w:sz w:val="24"/>
      <w:szCs w:val="24"/>
    </w:rPr>
  </w:style>
  <w:style w:type="character" w:styleId="EncabezadoCar1">
    <w:name w:val="Encabezado Car1"/>
    <w:qFormat/>
    <w:rPr>
      <w:rFonts w:ascii="Times New Roman" w:hAnsi="Times New Roman" w:eastAsia="Times New Roman" w:cs="Times New Roman"/>
      <w:color w:val="333333"/>
      <w:sz w:val="24"/>
      <w:szCs w:val="24"/>
    </w:rPr>
  </w:style>
  <w:style w:type="character" w:styleId="PiedepginaCar">
    <w:name w:val="Pie de página Car"/>
    <w:qFormat/>
    <w:rPr>
      <w:rFonts w:ascii="Times New Roman" w:hAnsi="Times New Roman" w:eastAsia="Times New Roman" w:cs="Times New Roman"/>
      <w:color w:val="333333"/>
      <w:sz w:val="24"/>
      <w:szCs w:val="24"/>
    </w:rPr>
  </w:style>
  <w:style w:type="character" w:styleId="TextodegloboCar">
    <w:name w:val="Texto de globo Car"/>
    <w:qFormat/>
    <w:rPr>
      <w:rFonts w:ascii="Tahoma" w:hAnsi="Tahoma" w:eastAsia="Times New Roman" w:cs="Tahoma"/>
      <w:color w:val="333333"/>
      <w:sz w:val="16"/>
      <w:szCs w:val="16"/>
    </w:rPr>
  </w:style>
  <w:style w:type="character" w:styleId="Textoindependiente2Car">
    <w:name w:val="Texto independiente 2 Car"/>
    <w:qFormat/>
    <w:rPr>
      <w:rFonts w:ascii="Times New Roman" w:hAnsi="Times New Roman" w:eastAsia="Times New Roman" w:cs="Times New Roman"/>
      <w:color w:val="333333"/>
      <w:sz w:val="24"/>
      <w:szCs w:val="24"/>
    </w:rPr>
  </w:style>
  <w:style w:type="character" w:styleId="apple-style-span">
    <w:name w:val="apple-style-span"/>
    <w:basedOn w:val="Fuentedeprrafopredeter"/>
    <w:qFormat/>
    <w:rPr/>
  </w:style>
  <w:style w:type="character" w:styleId="Emphasis">
    <w:name w:val="Emphasis"/>
    <w:qFormat/>
    <w:rPr>
      <w:i/>
      <w:iCs/>
    </w:rPr>
  </w:style>
  <w:style w:type="character" w:styleId="Ttulo1Car">
    <w:name w:val="Título 1 Car"/>
    <w:qFormat/>
    <w:rPr>
      <w:rFonts w:ascii="Arial Narrow" w:hAnsi="Arial Narrow" w:eastAsia="Times New Roman" w:cs="Arial"/>
      <w:b/>
      <w:bCs/>
    </w:rPr>
  </w:style>
  <w:style w:type="character" w:styleId="Strong">
    <w:name w:val="Strong"/>
    <w:qFormat/>
    <w:rPr>
      <w:b/>
      <w:bCs/>
    </w:rPr>
  </w:style>
  <w:style w:type="character" w:styleId="Ttulo4Car">
    <w:name w:val="Título 4 Car"/>
    <w:qFormat/>
    <w:rPr>
      <w:rFonts w:ascii="Arial" w:hAnsi="Arial" w:eastAsia="Helvetica" w:cs="Arial"/>
      <w:b/>
    </w:rPr>
  </w:style>
  <w:style w:type="character" w:styleId="Ttulo5Car">
    <w:name w:val="Título 5 Car"/>
    <w:qFormat/>
    <w:rPr>
      <w:rFonts w:ascii="Arial" w:hAnsi="Arial" w:eastAsia="Helvetica" w:cs="Arial"/>
      <w:b/>
      <w:color w:val="000000"/>
      <w:lang w:val="es-CO"/>
    </w:rPr>
  </w:style>
  <w:style w:type="character" w:styleId="Ttulo6Car">
    <w:name w:val="Título 6 Car"/>
    <w:qFormat/>
    <w:rPr>
      <w:rFonts w:ascii="Cambria" w:hAnsi="Cambria" w:eastAsia="Times New Roman" w:cs="Times New Roman"/>
      <w:i/>
      <w:iCs/>
      <w:color w:val="243F60"/>
      <w:sz w:val="24"/>
      <w:szCs w:val="24"/>
    </w:rPr>
  </w:style>
  <w:style w:type="character" w:styleId="Ttulo7Car">
    <w:name w:val="Título 7 Car"/>
    <w:qFormat/>
    <w:rPr>
      <w:rFonts w:ascii="Cambria" w:hAnsi="Cambria" w:eastAsia="Times New Roman" w:cs="Times New Roman"/>
      <w:i/>
      <w:iCs/>
      <w:color w:val="404040"/>
      <w:sz w:val="24"/>
      <w:szCs w:val="24"/>
    </w:rPr>
  </w:style>
  <w:style w:type="character" w:styleId="Ttulo8Car">
    <w:name w:val="Título 8 Car"/>
    <w:qFormat/>
    <w:rPr>
      <w:rFonts w:ascii="Cambria" w:hAnsi="Cambria" w:eastAsia="Times New Roman" w:cs="Times New Roman"/>
      <w:color w:val="404040"/>
      <w:sz w:val="20"/>
      <w:szCs w:val="20"/>
    </w:rPr>
  </w:style>
  <w:style w:type="character" w:styleId="Ttulo9Car">
    <w:name w:val="Título 9 Car"/>
    <w:qFormat/>
    <w:rPr>
      <w:rFonts w:ascii="Cambria" w:hAnsi="Cambria" w:eastAsia="Times New Roman" w:cs="Times New Roman"/>
      <w:i/>
      <w:iCs/>
      <w:color w:val="404040"/>
      <w:sz w:val="20"/>
      <w:szCs w:val="20"/>
    </w:rPr>
  </w:style>
  <w:style w:type="character" w:styleId="PuestoCar">
    <w:name w:val="Puesto Car"/>
    <w:qFormat/>
    <w:rPr>
      <w:rFonts w:ascii="Cambria" w:hAnsi="Cambria" w:eastAsia="Times New Roman" w:cs="Times New Roman"/>
      <w:color w:val="17365D"/>
      <w:spacing w:val="5"/>
      <w:kern w:val="2"/>
      <w:sz w:val="52"/>
      <w:szCs w:val="52"/>
    </w:rPr>
  </w:style>
  <w:style w:type="character" w:styleId="SubttuloCar">
    <w:name w:val="Subtítulo Car"/>
    <w:qFormat/>
    <w:rPr>
      <w:rFonts w:ascii="Cambria" w:hAnsi="Cambria" w:eastAsia="Times New Roman" w:cs="Times New Roman"/>
      <w:i/>
      <w:iCs/>
      <w:color w:val="4F81BD"/>
      <w:spacing w:val="15"/>
      <w:sz w:val="24"/>
      <w:szCs w:val="24"/>
    </w:rPr>
  </w:style>
  <w:style w:type="character" w:styleId="Tablanormal31">
    <w:name w:val="Tabla normal 31"/>
    <w:qFormat/>
    <w:rPr>
      <w:i/>
      <w:iCs/>
      <w:color w:val="808080"/>
    </w:rPr>
  </w:style>
  <w:style w:type="character" w:styleId="Tablanormal41">
    <w:name w:val="Tabla normal 41"/>
    <w:qFormat/>
    <w:rPr>
      <w:b/>
      <w:bCs/>
      <w:i/>
      <w:iCs/>
      <w:color w:val="4F81BD"/>
    </w:rPr>
  </w:style>
  <w:style w:type="character" w:styleId="Cuadrculamedia3-nfasis2Car">
    <w:name w:val="Cuadrícula media 3 - Énfasis 2 Car"/>
    <w:qFormat/>
    <w:rPr>
      <w:rFonts w:ascii="Times New Roman" w:hAnsi="Times New Roman" w:eastAsia="Times New Roman" w:cs="Times New Roman"/>
      <w:b/>
      <w:bCs/>
      <w:i/>
      <w:iCs/>
      <w:color w:val="4F81BD"/>
      <w:sz w:val="24"/>
      <w:szCs w:val="24"/>
    </w:rPr>
  </w:style>
  <w:style w:type="character" w:styleId="Tabladecuadrcula1clara1">
    <w:name w:val="Tabla de cuadrícula 1 clara1"/>
    <w:qFormat/>
    <w:rPr>
      <w:b/>
      <w:bCs/>
      <w:smallCaps/>
      <w:spacing w:val="5"/>
    </w:rPr>
  </w:style>
  <w:style w:type="character" w:styleId="CuerpodetextoCar">
    <w:name w:val="Cuerpo de texto Car"/>
    <w:qFormat/>
    <w:rPr>
      <w:rFonts w:ascii="Arial Narrow" w:hAnsi="Arial Narrow" w:eastAsia="Times New Roman" w:cs="Times New Roman"/>
      <w:szCs w:val="20"/>
      <w:lang w:val="es-ES"/>
    </w:rPr>
  </w:style>
  <w:style w:type="character" w:styleId="Cuadrculamedia1-nfasis2Car">
    <w:name w:val="Cuadrícula media 1 - Énfasis 2 Car"/>
    <w:qFormat/>
    <w:rPr>
      <w:rFonts w:ascii="Calibri" w:hAnsi="Calibri" w:eastAsia="Calibri" w:cs="Times New Roman"/>
    </w:rPr>
  </w:style>
  <w:style w:type="character" w:styleId="TextonotapieCar">
    <w:name w:val="Texto nota pie Car"/>
    <w:qFormat/>
    <w:rPr>
      <w:rFonts w:ascii="Times New Roman" w:hAnsi="Times New Roman" w:eastAsia="Times New Roman" w:cs="Times New Roman"/>
      <w:color w:val="333333"/>
      <w:lang w:val="es-CO"/>
    </w:rPr>
  </w:style>
  <w:style w:type="character" w:styleId="Caracteresdenotaalpie">
    <w:name w:val="Caracteres de nota al pie"/>
    <w:qFormat/>
    <w:rPr>
      <w:vertAlign w:val="superscript"/>
    </w:rPr>
  </w:style>
  <w:style w:type="character" w:styleId="Sombreadomedio1-nfasis1Car">
    <w:name w:val="Sombreado medio 1 - Énfasis 1 Car"/>
    <w:qFormat/>
    <w:rPr>
      <w:sz w:val="22"/>
      <w:szCs w:val="22"/>
      <w:lang w:val="es-CO" w:bidi="ar-SA"/>
    </w:rPr>
  </w:style>
  <w:style w:type="character" w:styleId="DefaultCar">
    <w:name w:val="Default Car"/>
    <w:qFormat/>
    <w:rPr>
      <w:rFonts w:ascii="Tahoma" w:hAnsi="Tahoma" w:eastAsia="Times New Roman" w:cs="Tahoma"/>
      <w:color w:val="000000"/>
      <w:sz w:val="24"/>
      <w:szCs w:val="24"/>
      <w:lang w:val="es-ES" w:bidi="ar-SA"/>
    </w:rPr>
  </w:style>
  <w:style w:type="character" w:styleId="Textoindependiente3Car">
    <w:name w:val="Texto independiente 3 Car"/>
    <w:qFormat/>
    <w:rPr>
      <w:sz w:val="16"/>
      <w:szCs w:val="16"/>
      <w:lang w:val="es-ES"/>
    </w:rPr>
  </w:style>
  <w:style w:type="character" w:styleId="Refdecomentario">
    <w:name w:val="Ref. de comentario"/>
    <w:qFormat/>
    <w:rPr>
      <w:sz w:val="16"/>
      <w:szCs w:val="16"/>
    </w:rPr>
  </w:style>
  <w:style w:type="character" w:styleId="TextocomentarioCar">
    <w:name w:val="Texto comentario Car"/>
    <w:qFormat/>
    <w:rPr>
      <w:rFonts w:ascii="Times New Roman" w:hAnsi="Times New Roman" w:eastAsia="Times New Roman" w:cs="Times New Roman"/>
      <w:color w:val="333333"/>
      <w:lang w:val="es-CO"/>
    </w:rPr>
  </w:style>
  <w:style w:type="character" w:styleId="AsuntodelcomentarioCar">
    <w:name w:val="Asunto del comentario Car"/>
    <w:qFormat/>
    <w:rPr>
      <w:rFonts w:ascii="Times New Roman" w:hAnsi="Times New Roman" w:eastAsia="Times New Roman" w:cs="Times New Roman"/>
      <w:b/>
      <w:bCs/>
      <w:color w:val="333333"/>
      <w:lang w:val="es-CO"/>
    </w:rPr>
  </w:style>
  <w:style w:type="character" w:styleId="PrrafodelistaCar">
    <w:name w:val="Párrafo de lista Car"/>
    <w:qFormat/>
    <w:rPr>
      <w:sz w:val="22"/>
      <w:szCs w:val="22"/>
    </w:rPr>
  </w:style>
  <w:style w:type="character" w:styleId="SinespaciadoCar">
    <w:name w:val="Sin espaciado Car"/>
    <w:qFormat/>
    <w:rPr>
      <w:sz w:val="22"/>
      <w:szCs w:val="22"/>
      <w:lang w:val="es-ES" w:bidi="ar-SA"/>
    </w:rPr>
  </w:style>
  <w:style w:type="character" w:styleId="FootnoteReference">
    <w:name w:val="footnote reference"/>
    <w:rPr>
      <w:vertAlign w:val="superscript"/>
    </w:rPr>
  </w:style>
  <w:style w:type="character" w:styleId="Caracteresdenotafinal">
    <w:name w:val="Caracteres de nota final"/>
    <w:qFormat/>
    <w:rPr/>
  </w:style>
  <w:style w:type="character" w:styleId="EndnoteReference">
    <w:name w:val="endnote reference"/>
    <w:rPr>
      <w:vertAlign w:val="superscript"/>
    </w:rPr>
  </w:style>
  <w:style w:type="character" w:styleId="Enlacedelndice">
    <w:name w:val="Enlace del índice"/>
    <w:qFormat/>
    <w:rPr/>
  </w:style>
  <w:style w:type="paragraph" w:styleId="Ttulo">
    <w:name w:val="Título"/>
    <w:basedOn w:val="Normal"/>
    <w:next w:val="Normal"/>
    <w:qFormat/>
    <w:pPr>
      <w:pBdr>
        <w:bottom w:val="single" w:sz="8" w:space="4" w:color="4F81BD"/>
      </w:pBdr>
      <w:spacing w:before="0" w:after="300"/>
      <w:contextualSpacing/>
    </w:pPr>
    <w:rPr>
      <w:rFonts w:ascii="Cambria" w:hAnsi="Cambria" w:cs="Cambria"/>
      <w:color w:val="17365D"/>
      <w:spacing w:val="5"/>
      <w:kern w:val="2"/>
      <w:sz w:val="52"/>
      <w:szCs w:val="52"/>
      <w:lang w:val="es-CO"/>
    </w:rPr>
  </w:style>
  <w:style w:type="paragraph" w:styleId="BodyText">
    <w:name w:val="Body Text"/>
    <w:basedOn w:val="Normal"/>
    <w:pPr>
      <w:spacing w:before="0" w:after="120"/>
    </w:pPr>
    <w:rPr>
      <w:lang w:val="es-CO"/>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Tahoma"/>
    </w:rPr>
  </w:style>
  <w:style w:type="paragraph" w:styleId="Encabezado1">
    <w:name w:val="Encabezado1"/>
    <w:basedOn w:val="Normal"/>
    <w:next w:val="BodyText"/>
    <w:qFormat/>
    <w:pPr>
      <w:keepNext w:val="true"/>
      <w:spacing w:before="240" w:after="120"/>
    </w:pPr>
    <w:rPr>
      <w:rFonts w:ascii="Arial" w:hAnsi="Arial" w:eastAsia="MS Mincho;ＭＳ 明朝" w:cs="Tahoma"/>
      <w:sz w:val="28"/>
      <w:szCs w:val="28"/>
    </w:rPr>
  </w:style>
  <w:style w:type="paragraph" w:styleId="Etiqueta">
    <w:name w:val="Etiqueta"/>
    <w:basedOn w:val="Normal"/>
    <w:qFormat/>
    <w:pPr>
      <w:suppressLineNumbers/>
      <w:spacing w:before="120" w:after="120"/>
    </w:pPr>
    <w:rPr>
      <w:rFonts w:cs="Tahoma"/>
      <w:i/>
      <w:iCs/>
    </w:rPr>
  </w:style>
  <w:style w:type="paragraph" w:styleId="Cabeceraypie">
    <w:name w:val="Cabecera y pie"/>
    <w:basedOn w:val="Normal"/>
    <w:qFormat/>
    <w:pPr>
      <w:suppressLineNumbers/>
      <w:tabs>
        <w:tab w:val="clear" w:pos="709"/>
        <w:tab w:val="center" w:pos="4986" w:leader="none"/>
        <w:tab w:val="right" w:pos="9972" w:leader="none"/>
      </w:tabs>
    </w:pPr>
    <w:rPr/>
  </w:style>
  <w:style w:type="paragraph" w:styleId="Header">
    <w:name w:val="header"/>
    <w:basedOn w:val="Normal"/>
    <w:pPr/>
    <w:rPr>
      <w:lang w:val="es-CO"/>
    </w:rPr>
  </w:style>
  <w:style w:type="paragraph" w:styleId="Footer">
    <w:name w:val="footer"/>
    <w:basedOn w:val="Normal"/>
    <w:pPr/>
    <w:rPr>
      <w:lang w:val="es-CO"/>
    </w:rPr>
  </w:style>
  <w:style w:type="paragraph" w:styleId="Cuadrculamedia1-nfasis21">
    <w:name w:val="Cuadrícula media 1 - Énfasis 21"/>
    <w:basedOn w:val="Normal"/>
    <w:qFormat/>
    <w:pPr>
      <w:spacing w:lineRule="auto" w:line="276" w:before="0" w:after="200"/>
      <w:ind w:hanging="0" w:left="720" w:right="0"/>
    </w:pPr>
    <w:rPr>
      <w:rFonts w:ascii="Calibri" w:hAnsi="Calibri" w:eastAsia="Calibri" w:cs="Calibri"/>
      <w:color w:val="000000"/>
      <w:sz w:val="20"/>
      <w:szCs w:val="20"/>
      <w:lang w:val="es-CO"/>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jc w:val="center"/>
    </w:pPr>
    <w:rPr>
      <w:b/>
      <w:bCs/>
    </w:rPr>
  </w:style>
  <w:style w:type="paragraph" w:styleId="Sombreadomedio1-nfasis11">
    <w:name w:val="Sombreado medio 1 - Énfasis 11"/>
    <w:qFormat/>
    <w:pPr>
      <w:widowControl/>
      <w:suppressAutoHyphens w:val="true"/>
      <w:bidi w:val="0"/>
      <w:spacing w:before="0" w:after="0"/>
      <w:jc w:val="left"/>
    </w:pPr>
    <w:rPr>
      <w:rFonts w:ascii="Calibri" w:hAnsi="Calibri" w:eastAsia="Calibri" w:cs="Times New Roman"/>
      <w:color w:val="auto"/>
      <w:kern w:val="0"/>
      <w:sz w:val="22"/>
      <w:szCs w:val="22"/>
      <w:lang w:val="es-CO" w:eastAsia="zh-CN" w:bidi="ar-SA"/>
    </w:rPr>
  </w:style>
  <w:style w:type="paragraph" w:styleId="Default">
    <w:name w:val="Default"/>
    <w:qFormat/>
    <w:pPr>
      <w:widowControl/>
      <w:suppressAutoHyphens w:val="true"/>
      <w:bidi w:val="0"/>
      <w:spacing w:before="0" w:after="0"/>
      <w:jc w:val="left"/>
    </w:pPr>
    <w:rPr>
      <w:rFonts w:ascii="Tahoma" w:hAnsi="Tahoma" w:eastAsia="Times New Roman" w:cs="Tahoma"/>
      <w:color w:val="000000"/>
      <w:kern w:val="0"/>
      <w:sz w:val="24"/>
      <w:szCs w:val="24"/>
      <w:lang w:val="es-ES" w:eastAsia="zh-CN" w:bidi="ar-SA"/>
    </w:rPr>
  </w:style>
  <w:style w:type="paragraph" w:styleId="Textodeglobo">
    <w:name w:val="Texto de globo"/>
    <w:basedOn w:val="Normal"/>
    <w:qFormat/>
    <w:pPr/>
    <w:rPr>
      <w:rFonts w:ascii="Tahoma" w:hAnsi="Tahoma" w:cs="Tahoma"/>
      <w:sz w:val="16"/>
      <w:szCs w:val="16"/>
      <w:lang w:val="es-CO"/>
    </w:rPr>
  </w:style>
  <w:style w:type="paragraph" w:styleId="Textoindependiente2">
    <w:name w:val="Texto independiente 2"/>
    <w:basedOn w:val="Normal"/>
    <w:qFormat/>
    <w:pPr>
      <w:spacing w:lineRule="auto" w:line="480" w:before="0" w:after="120"/>
    </w:pPr>
    <w:rPr>
      <w:lang w:val="es-CO"/>
    </w:rPr>
  </w:style>
  <w:style w:type="paragraph" w:styleId="Sangradet">
    <w:name w:val="Sangría de t"/>
    <w:basedOn w:val="Normal"/>
    <w:qFormat/>
    <w:pPr>
      <w:widowControl w:val="false"/>
      <w:suppressAutoHyphens w:val="false"/>
      <w:spacing w:lineRule="auto" w:line="360"/>
      <w:jc w:val="both"/>
    </w:pPr>
    <w:rPr>
      <w:rFonts w:ascii="Arial" w:hAnsi="Arial" w:cs="Arial"/>
      <w:color w:val="000000"/>
      <w:szCs w:val="20"/>
    </w:rPr>
  </w:style>
  <w:style w:type="paragraph" w:styleId="WW-Cuerpodetexto">
    <w:name w:val="WW-Cuerpo de texto"/>
    <w:basedOn w:val="Normal"/>
    <w:qFormat/>
    <w:pPr>
      <w:suppressAutoHyphens w:val="false"/>
      <w:spacing w:lineRule="auto" w:line="360"/>
      <w:jc w:val="both"/>
    </w:pPr>
    <w:rPr>
      <w:rFonts w:ascii="Arial Narrow" w:hAnsi="Arial Narrow" w:cs="Arial Narrow"/>
      <w:color w:val="000000"/>
      <w:sz w:val="20"/>
      <w:szCs w:val="20"/>
      <w:lang w:val="es-ES"/>
    </w:rPr>
  </w:style>
  <w:style w:type="paragraph" w:styleId="Prrafodelista1">
    <w:name w:val="Párrafo de lista1"/>
    <w:basedOn w:val="Normal"/>
    <w:qFormat/>
    <w:pPr>
      <w:suppressAutoHyphens w:val="false"/>
      <w:spacing w:lineRule="auto" w:line="276" w:before="0" w:after="200"/>
      <w:ind w:hanging="0" w:left="720" w:right="0"/>
      <w:contextualSpacing/>
    </w:pPr>
    <w:rPr>
      <w:rFonts w:ascii="Calibri" w:hAnsi="Calibri" w:cs="Calibri"/>
      <w:color w:val="000000"/>
      <w:sz w:val="22"/>
      <w:szCs w:val="22"/>
      <w:lang w:val="es-ES"/>
    </w:rPr>
  </w:style>
  <w:style w:type="paragraph" w:styleId="TOC2">
    <w:name w:val="toc 2"/>
    <w:basedOn w:val="Normal"/>
    <w:next w:val="Normal"/>
    <w:pPr>
      <w:spacing w:before="240" w:after="0"/>
    </w:pPr>
    <w:rPr>
      <w:rFonts w:ascii="Calibri" w:hAnsi="Calibri" w:cs="Calibri"/>
      <w:b/>
      <w:bCs/>
      <w:sz w:val="20"/>
      <w:szCs w:val="20"/>
    </w:rPr>
  </w:style>
  <w:style w:type="paragraph" w:styleId="TOC1">
    <w:name w:val="toc 1"/>
    <w:basedOn w:val="Normal"/>
    <w:next w:val="Normal"/>
    <w:pPr>
      <w:spacing w:before="360" w:after="0"/>
    </w:pPr>
    <w:rPr>
      <w:rFonts w:ascii="Calibri Light;Calibri" w:hAnsi="Calibri Light;Calibri" w:cs="Calibri Light;Calibri"/>
      <w:b/>
      <w:bCs/>
      <w:caps/>
    </w:rPr>
  </w:style>
  <w:style w:type="paragraph" w:styleId="Tabladecuadrcula31">
    <w:name w:val="Tabla de cuadrícula 31"/>
    <w:basedOn w:val="Heading1"/>
    <w:next w:val="Normal"/>
    <w:qFormat/>
    <w:pPr>
      <w:numPr>
        <w:ilvl w:val="0"/>
        <w:numId w:val="0"/>
      </w:numPr>
      <w:suppressAutoHyphens w:val="false"/>
      <w:outlineLvl w:val="9"/>
    </w:pPr>
    <w:rPr/>
  </w:style>
  <w:style w:type="paragraph" w:styleId="TOC3">
    <w:name w:val="toc 3"/>
    <w:basedOn w:val="Normal"/>
    <w:next w:val="Normal"/>
    <w:pPr>
      <w:ind w:hanging="0" w:left="240" w:right="0"/>
    </w:pPr>
    <w:rPr>
      <w:rFonts w:ascii="Calibri" w:hAnsi="Calibri" w:cs="Calibri"/>
      <w:sz w:val="20"/>
      <w:szCs w:val="20"/>
    </w:rPr>
  </w:style>
  <w:style w:type="paragraph" w:styleId="TOC4">
    <w:name w:val="toc 4"/>
    <w:basedOn w:val="Normal"/>
    <w:next w:val="Normal"/>
    <w:pPr>
      <w:ind w:hanging="0" w:left="480" w:right="0"/>
    </w:pPr>
    <w:rPr>
      <w:rFonts w:ascii="Calibri" w:hAnsi="Calibri" w:cs="Calibri"/>
      <w:sz w:val="20"/>
      <w:szCs w:val="20"/>
    </w:rPr>
  </w:style>
  <w:style w:type="paragraph" w:styleId="TOC5">
    <w:name w:val="toc 5"/>
    <w:basedOn w:val="Normal"/>
    <w:next w:val="Normal"/>
    <w:pPr>
      <w:ind w:hanging="0" w:left="720" w:right="0"/>
    </w:pPr>
    <w:rPr>
      <w:rFonts w:ascii="Calibri" w:hAnsi="Calibri" w:cs="Calibri"/>
      <w:sz w:val="20"/>
      <w:szCs w:val="20"/>
    </w:rPr>
  </w:style>
  <w:style w:type="paragraph" w:styleId="TOC6">
    <w:name w:val="toc 6"/>
    <w:basedOn w:val="Normal"/>
    <w:next w:val="Normal"/>
    <w:pPr>
      <w:ind w:hanging="0" w:left="960" w:right="0"/>
    </w:pPr>
    <w:rPr>
      <w:rFonts w:ascii="Calibri" w:hAnsi="Calibri" w:cs="Calibri"/>
      <w:sz w:val="20"/>
      <w:szCs w:val="20"/>
    </w:rPr>
  </w:style>
  <w:style w:type="paragraph" w:styleId="TOC7">
    <w:name w:val="toc 7"/>
    <w:basedOn w:val="Normal"/>
    <w:next w:val="Normal"/>
    <w:pPr>
      <w:ind w:hanging="0" w:left="1200" w:right="0"/>
    </w:pPr>
    <w:rPr>
      <w:rFonts w:ascii="Calibri" w:hAnsi="Calibri" w:cs="Calibri"/>
      <w:sz w:val="20"/>
      <w:szCs w:val="20"/>
    </w:rPr>
  </w:style>
  <w:style w:type="paragraph" w:styleId="TOC8">
    <w:name w:val="toc 8"/>
    <w:basedOn w:val="Normal"/>
    <w:next w:val="Normal"/>
    <w:pPr>
      <w:ind w:hanging="0" w:left="1440" w:right="0"/>
    </w:pPr>
    <w:rPr>
      <w:rFonts w:ascii="Calibri" w:hAnsi="Calibri" w:cs="Calibri"/>
      <w:sz w:val="20"/>
      <w:szCs w:val="20"/>
    </w:rPr>
  </w:style>
  <w:style w:type="paragraph" w:styleId="TOC9">
    <w:name w:val="toc 9"/>
    <w:basedOn w:val="Normal"/>
    <w:next w:val="Normal"/>
    <w:pPr>
      <w:ind w:hanging="0" w:left="1680" w:right="0"/>
    </w:pPr>
    <w:rPr>
      <w:rFonts w:ascii="Calibri" w:hAnsi="Calibri" w:cs="Calibri"/>
      <w:sz w:val="20"/>
      <w:szCs w:val="20"/>
    </w:rPr>
  </w:style>
  <w:style w:type="paragraph" w:styleId="Descripcin">
    <w:name w:val="Descripción"/>
    <w:basedOn w:val="Normal"/>
    <w:next w:val="Normal"/>
    <w:qFormat/>
    <w:pPr>
      <w:spacing w:before="0" w:after="200"/>
    </w:pPr>
    <w:rPr>
      <w:b/>
      <w:bCs/>
      <w:color w:val="4F81BD"/>
      <w:sz w:val="18"/>
      <w:szCs w:val="18"/>
    </w:rPr>
  </w:style>
  <w:style w:type="paragraph" w:styleId="Subtitle">
    <w:name w:val="Subtitle"/>
    <w:basedOn w:val="Normal"/>
    <w:next w:val="Normal"/>
    <w:qFormat/>
    <w:pPr/>
    <w:rPr>
      <w:rFonts w:ascii="Cambria" w:hAnsi="Cambria" w:cs="Cambria"/>
      <w:i/>
      <w:iCs/>
      <w:color w:val="4F81BD"/>
      <w:spacing w:val="15"/>
      <w:lang w:val="es-CO"/>
    </w:rPr>
  </w:style>
  <w:style w:type="paragraph" w:styleId="Cuadrculamedia3-nfasis21">
    <w:name w:val="Cuadrícula media 3 - Énfasis 21"/>
    <w:basedOn w:val="Normal"/>
    <w:next w:val="Normal"/>
    <w:qFormat/>
    <w:pPr>
      <w:pBdr>
        <w:bottom w:val="single" w:sz="4" w:space="4" w:color="4F81BD"/>
      </w:pBdr>
      <w:spacing w:before="200" w:after="280"/>
      <w:ind w:hanging="0" w:left="936" w:right="936"/>
    </w:pPr>
    <w:rPr>
      <w:b/>
      <w:bCs/>
      <w:i/>
      <w:iCs/>
      <w:color w:val="4F81BD"/>
      <w:lang w:val="es-CO"/>
    </w:rPr>
  </w:style>
  <w:style w:type="paragraph" w:styleId="CM26">
    <w:name w:val="CM26"/>
    <w:basedOn w:val="Normal"/>
    <w:next w:val="Normal"/>
    <w:qFormat/>
    <w:pPr>
      <w:widowControl w:val="false"/>
      <w:suppressAutoHyphens w:val="false"/>
    </w:pPr>
    <w:rPr>
      <w:rFonts w:ascii="Arial Narrow" w:hAnsi="Arial Narrow" w:cs="Arial Narrow"/>
      <w:color w:val="000000"/>
    </w:rPr>
  </w:style>
  <w:style w:type="paragraph" w:styleId="NormalWeb">
    <w:name w:val="Normal (Web)"/>
    <w:basedOn w:val="Normal"/>
    <w:qFormat/>
    <w:pPr>
      <w:suppressAutoHyphens w:val="false"/>
      <w:spacing w:before="280" w:after="280"/>
    </w:pPr>
    <w:rPr>
      <w:color w:val="000000"/>
      <w:lang w:val="es-ES"/>
    </w:rPr>
  </w:style>
  <w:style w:type="paragraph" w:styleId="FootnoteText">
    <w:name w:val="footnote text"/>
    <w:basedOn w:val="Normal"/>
    <w:pPr/>
    <w:rPr>
      <w:sz w:val="20"/>
      <w:szCs w:val="20"/>
    </w:rPr>
  </w:style>
  <w:style w:type="paragraph" w:styleId="Tabladeilustraciones">
    <w:name w:val="Tabla de ilustraciones"/>
    <w:basedOn w:val="Normal"/>
    <w:next w:val="Normal"/>
    <w:qFormat/>
    <w:pPr/>
    <w:rPr/>
  </w:style>
  <w:style w:type="paragraph" w:styleId="Imagen1">
    <w:name w:val="Imagen1"/>
    <w:basedOn w:val="Sombreadomedio1-nfasis11"/>
    <w:qFormat/>
    <w:pPr/>
    <w:rPr>
      <w:rFonts w:eastAsia="Batang;바탕"/>
      <w:b/>
      <w:sz w:val="20"/>
      <w:szCs w:val="20"/>
      <w:lang w:val="es-ES"/>
    </w:rPr>
  </w:style>
  <w:style w:type="paragraph" w:styleId="Textoindependiente3">
    <w:name w:val="Texto independiente 3"/>
    <w:basedOn w:val="Normal"/>
    <w:qFormat/>
    <w:pPr>
      <w:suppressAutoHyphens w:val="false"/>
      <w:spacing w:lineRule="auto" w:line="276" w:before="0" w:after="120"/>
    </w:pPr>
    <w:rPr>
      <w:rFonts w:ascii="Calibri" w:hAnsi="Calibri" w:eastAsia="Calibri" w:cs="Calibri"/>
      <w:color w:val="000000"/>
      <w:sz w:val="16"/>
      <w:szCs w:val="16"/>
      <w:lang w:val="es-ES"/>
    </w:rPr>
  </w:style>
  <w:style w:type="paragraph" w:styleId="Listavistosa-nfasis11">
    <w:name w:val="Lista vistosa - Énfasis 11"/>
    <w:basedOn w:val="Normal"/>
    <w:qFormat/>
    <w:pPr>
      <w:suppressAutoHyphens w:val="false"/>
      <w:ind w:hanging="0" w:left="720" w:right="0"/>
    </w:pPr>
    <w:rPr>
      <w:color w:val="000000"/>
    </w:rPr>
  </w:style>
  <w:style w:type="paragraph" w:styleId="western">
    <w:name w:val="western"/>
    <w:basedOn w:val="Normal"/>
    <w:qFormat/>
    <w:pPr>
      <w:suppressAutoHyphens w:val="false"/>
      <w:spacing w:before="280" w:after="280"/>
    </w:pPr>
    <w:rPr>
      <w:color w:val="000000"/>
    </w:rPr>
  </w:style>
  <w:style w:type="paragraph" w:styleId="ecxmsonormal">
    <w:name w:val="ecxmsonormal"/>
    <w:basedOn w:val="Normal"/>
    <w:qFormat/>
    <w:pPr>
      <w:suppressAutoHyphens w:val="false"/>
      <w:spacing w:before="0" w:after="324"/>
    </w:pPr>
    <w:rPr>
      <w:color w:val="000000"/>
      <w:lang w:val="es-AR"/>
    </w:rPr>
  </w:style>
  <w:style w:type="paragraph" w:styleId="Figurabarranca">
    <w:name w:val="Figura barranca"/>
    <w:basedOn w:val="Normal"/>
    <w:qFormat/>
    <w:pPr>
      <w:numPr>
        <w:ilvl w:val="0"/>
        <w:numId w:val="13"/>
      </w:numPr>
      <w:suppressAutoHyphens w:val="false"/>
      <w:spacing w:before="0" w:after="0"/>
      <w:contextualSpacing/>
      <w:jc w:val="center"/>
    </w:pPr>
    <w:rPr>
      <w:rFonts w:ascii="Arial" w:hAnsi="Arial" w:eastAsia="Calibri" w:cs="Arial"/>
      <w:i/>
      <w:color w:val="000000"/>
      <w:sz w:val="18"/>
      <w:szCs w:val="20"/>
      <w:lang w:val="es-ES"/>
    </w:rPr>
  </w:style>
  <w:style w:type="paragraph" w:styleId="pa39">
    <w:name w:val="pa39"/>
    <w:basedOn w:val="Normal"/>
    <w:qFormat/>
    <w:pPr>
      <w:suppressAutoHyphens w:val="false"/>
      <w:spacing w:before="280" w:after="280"/>
    </w:pPr>
    <w:rPr>
      <w:color w:val="000000"/>
      <w:lang w:val="es-ES"/>
    </w:rPr>
  </w:style>
  <w:style w:type="paragraph" w:styleId="TableParagraph">
    <w:name w:val="Table Paragraph"/>
    <w:basedOn w:val="Normal"/>
    <w:qFormat/>
    <w:pPr>
      <w:widowControl w:val="false"/>
      <w:suppressAutoHyphens w:val="false"/>
    </w:pPr>
    <w:rPr>
      <w:rFonts w:ascii="Arial" w:hAnsi="Arial" w:eastAsia="Arial" w:cs="Arial"/>
      <w:color w:val="000000"/>
      <w:sz w:val="22"/>
      <w:szCs w:val="22"/>
      <w:lang w:val="en-US"/>
    </w:rPr>
  </w:style>
  <w:style w:type="paragraph" w:styleId="Listavistosa-nfasis12">
    <w:name w:val="Lista vistosa - Énfasis 12"/>
    <w:basedOn w:val="Normal"/>
    <w:qFormat/>
    <w:pPr>
      <w:spacing w:before="0" w:after="0"/>
      <w:ind w:hanging="0" w:left="720" w:right="0"/>
      <w:contextualSpacing/>
    </w:pPr>
    <w:rPr/>
  </w:style>
  <w:style w:type="paragraph" w:styleId="Textocomentario">
    <w:name w:val="Texto comentario"/>
    <w:basedOn w:val="Normal"/>
    <w:qFormat/>
    <w:pPr/>
    <w:rPr>
      <w:sz w:val="20"/>
      <w:szCs w:val="20"/>
    </w:rPr>
  </w:style>
  <w:style w:type="paragraph" w:styleId="Asuntodelcomentario">
    <w:name w:val="Asunto del comentario"/>
    <w:basedOn w:val="Textocomentario"/>
    <w:next w:val="Textocomentario"/>
    <w:qFormat/>
    <w:pPr/>
    <w:rPr>
      <w:b/>
      <w:bCs/>
    </w:rPr>
  </w:style>
  <w:style w:type="paragraph" w:styleId="Prrafodelista">
    <w:name w:val="Párrafo de lista"/>
    <w:basedOn w:val="Normal"/>
    <w:qFormat/>
    <w:pPr>
      <w:suppressAutoHyphens w:val="false"/>
      <w:spacing w:lineRule="auto" w:line="276" w:before="0" w:after="200"/>
      <w:ind w:hanging="0" w:left="720" w:right="0"/>
      <w:contextualSpacing/>
    </w:pPr>
    <w:rPr>
      <w:rFonts w:ascii="Calibri" w:hAnsi="Calibri" w:eastAsia="Calibri" w:cs="Calibri"/>
      <w:color w:val="000000"/>
      <w:sz w:val="22"/>
      <w:szCs w:val="22"/>
      <w:lang w:val="es-CO"/>
    </w:rPr>
  </w:style>
  <w:style w:type="paragraph" w:styleId="Sinespaciado">
    <w:name w:val="Sin espaciado"/>
    <w:qFormat/>
    <w:pPr>
      <w:widowControl/>
      <w:suppressAutoHyphens w:val="true"/>
      <w:bidi w:val="0"/>
      <w:spacing w:before="0" w:after="0"/>
      <w:jc w:val="left"/>
    </w:pPr>
    <w:rPr>
      <w:rFonts w:ascii="Calibri" w:hAnsi="Calibri" w:eastAsia="Calibri" w:cs="Times New Roman"/>
      <w:color w:val="auto"/>
      <w:kern w:val="0"/>
      <w:sz w:val="22"/>
      <w:szCs w:val="22"/>
      <w:lang w:val="es-ES" w:eastAsia="zh-CN" w:bidi="ar-SA"/>
    </w:rPr>
  </w:style>
  <w:style w:type="paragraph" w:styleId="Ttulodelatabla">
    <w:name w:val="Título de la tabla"/>
    <w:basedOn w:val="Contenidodelatab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lombiacompra.gov.co/" TargetMode="External"/><Relationship Id="rId3" Type="http://schemas.openxmlformats.org/officeDocument/2006/relationships/hyperlink" Target="http://www.colombiacompra.gov.co/" TargetMode="External"/><Relationship Id="rId4" Type="http://schemas.openxmlformats.org/officeDocument/2006/relationships/hyperlink" Target="http://www.contraloria.gov.co/" TargetMode="External"/><Relationship Id="rId5" Type="http://schemas.openxmlformats.org/officeDocument/2006/relationships/hyperlink" Target="http://www.procuraduria.gov.co/" TargetMode="External"/><Relationship Id="rId6" Type="http://schemas.openxmlformats.org/officeDocument/2006/relationships/hyperlink" Target="https://antecedentes.policia.gov.co:7005/WebJudicial/" TargetMode="External"/><Relationship Id="rId7" Type="http://schemas.openxmlformats.org/officeDocument/2006/relationships/hyperlink" Target="https://www.libretamilitar.mil.co/modules/consult/militarysituation"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w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_rels/header3.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PROYECTO DE PLIEGO DE CONDICIONES ESTACION CAFE MADRID_x005F_x0000_</Template>
  <TotalTime>7</TotalTime>
  <Application>LibreOffice/24.8.4.2$Windows_X86_64 LibreOffice_project/bb3cfa12c7b1bf994ecc5649a80400d06cd71002</Application>
  <AppVersion>15.0000</AppVersion>
  <Pages>42</Pages>
  <Words>15365</Words>
  <Characters>84087</Characters>
  <CharactersWithSpaces>98903</CharactersWithSpaces>
  <Paragraphs>671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2017-06-29T16:59:00Z</dcterms:created>
  <dc:creator>Fabian</dc:creator>
  <dc:description/>
  <dc:language>es-CO</dc:language>
  <cp:lastModifiedBy/>
  <cp:lastPrinted>2017-05-24T17:02:00Z</cp:lastPrinted>
  <dcterms:modified xsi:type="dcterms:W3CDTF">2025-02-19T12:15:01Z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